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B4343" w14:textId="77777777" w:rsidR="008A6127" w:rsidRDefault="008A6127">
      <w:pPr>
        <w:widowControl/>
        <w:autoSpaceDE w:val="0"/>
        <w:autoSpaceDN w:val="0"/>
        <w:snapToGrid w:val="0"/>
        <w:spacing w:line="360" w:lineRule="auto"/>
        <w:jc w:val="center"/>
        <w:textAlignment w:val="bottom"/>
        <w:rPr>
          <w:rFonts w:ascii="Cambria" w:hAnsi="Cambria"/>
          <w:b/>
          <w:sz w:val="44"/>
        </w:rPr>
      </w:pPr>
    </w:p>
    <w:p w14:paraId="17D03EB4" w14:textId="77777777" w:rsidR="008A6127" w:rsidRDefault="008A6127">
      <w:pPr>
        <w:widowControl/>
        <w:autoSpaceDE w:val="0"/>
        <w:autoSpaceDN w:val="0"/>
        <w:snapToGrid w:val="0"/>
        <w:spacing w:line="360" w:lineRule="auto"/>
        <w:jc w:val="center"/>
        <w:textAlignment w:val="bottom"/>
        <w:rPr>
          <w:rFonts w:ascii="Cambria" w:hAnsi="Cambria"/>
          <w:b/>
          <w:sz w:val="44"/>
        </w:rPr>
      </w:pPr>
    </w:p>
    <w:p w14:paraId="2B023F4E" w14:textId="77777777" w:rsidR="008A6127" w:rsidRDefault="008A6127">
      <w:pPr>
        <w:widowControl/>
        <w:autoSpaceDE w:val="0"/>
        <w:autoSpaceDN w:val="0"/>
        <w:snapToGrid w:val="0"/>
        <w:spacing w:line="360" w:lineRule="auto"/>
        <w:jc w:val="center"/>
        <w:textAlignment w:val="bottom"/>
        <w:rPr>
          <w:rFonts w:ascii="Cambria" w:hAnsi="Cambria"/>
          <w:b/>
          <w:sz w:val="44"/>
        </w:rPr>
      </w:pPr>
    </w:p>
    <w:p w14:paraId="10436ADB" w14:textId="77777777" w:rsidR="008A6127" w:rsidRDefault="008A6127">
      <w:pPr>
        <w:widowControl/>
        <w:autoSpaceDE w:val="0"/>
        <w:autoSpaceDN w:val="0"/>
        <w:snapToGrid w:val="0"/>
        <w:spacing w:line="360" w:lineRule="auto"/>
        <w:jc w:val="center"/>
        <w:textAlignment w:val="bottom"/>
        <w:rPr>
          <w:rFonts w:ascii="Cambria" w:hAnsi="Cambria"/>
          <w:b/>
          <w:sz w:val="44"/>
        </w:rPr>
      </w:pPr>
    </w:p>
    <w:p w14:paraId="05670D08" w14:textId="77777777" w:rsidR="008A6127" w:rsidRDefault="008A6127">
      <w:pPr>
        <w:widowControl/>
        <w:autoSpaceDE w:val="0"/>
        <w:autoSpaceDN w:val="0"/>
        <w:snapToGrid w:val="0"/>
        <w:spacing w:line="360" w:lineRule="auto"/>
        <w:jc w:val="center"/>
        <w:textAlignment w:val="bottom"/>
        <w:rPr>
          <w:rFonts w:ascii="Cambria" w:hAnsi="Cambria"/>
          <w:b/>
          <w:sz w:val="44"/>
        </w:rPr>
      </w:pPr>
    </w:p>
    <w:p w14:paraId="5D6BAB98" w14:textId="77777777" w:rsidR="008A6127" w:rsidRDefault="00437D9F">
      <w:pPr>
        <w:widowControl/>
        <w:autoSpaceDE w:val="0"/>
        <w:autoSpaceDN w:val="0"/>
        <w:snapToGrid w:val="0"/>
        <w:spacing w:line="360" w:lineRule="auto"/>
        <w:jc w:val="center"/>
        <w:textAlignment w:val="bottom"/>
        <w:rPr>
          <w:rFonts w:ascii="Cambria" w:hAnsi="Cambria"/>
          <w:b/>
          <w:sz w:val="48"/>
        </w:rPr>
      </w:pPr>
      <w:bookmarkStart w:id="0" w:name="_Toc360794094"/>
      <w:bookmarkStart w:id="1" w:name="_Toc360194761"/>
      <w:bookmarkStart w:id="2" w:name="_Toc360191555"/>
      <w:bookmarkStart w:id="3" w:name="_Toc360195350"/>
      <w:bookmarkStart w:id="4" w:name="_Toc360195006"/>
      <w:bookmarkStart w:id="5" w:name="_Toc360192746"/>
      <w:bookmarkStart w:id="6" w:name="_Toc360786949"/>
      <w:bookmarkStart w:id="7" w:name="_Toc360793492"/>
      <w:bookmarkStart w:id="8" w:name="_Toc362533449"/>
      <w:bookmarkStart w:id="9" w:name="_Toc360787431"/>
      <w:bookmarkStart w:id="10" w:name="_Toc360794402"/>
      <w:r>
        <w:rPr>
          <w:rFonts w:ascii="Cambria" w:hAnsi="Cambria"/>
          <w:b/>
          <w:sz w:val="48"/>
        </w:rPr>
        <w:t>朱雀产业</w:t>
      </w:r>
      <w:proofErr w:type="gramStart"/>
      <w:r>
        <w:rPr>
          <w:rFonts w:ascii="Cambria" w:hAnsi="Cambria"/>
          <w:b/>
          <w:sz w:val="48"/>
        </w:rPr>
        <w:t>臻</w:t>
      </w:r>
      <w:proofErr w:type="gramEnd"/>
      <w:r>
        <w:rPr>
          <w:rFonts w:ascii="Cambria" w:hAnsi="Cambria"/>
          <w:b/>
          <w:sz w:val="48"/>
        </w:rPr>
        <w:t>选混合型证券投资基金</w:t>
      </w:r>
    </w:p>
    <w:p w14:paraId="06A2CF32" w14:textId="77777777" w:rsidR="008A6127" w:rsidRDefault="00437D9F">
      <w:pPr>
        <w:widowControl/>
        <w:autoSpaceDE w:val="0"/>
        <w:autoSpaceDN w:val="0"/>
        <w:snapToGrid w:val="0"/>
        <w:spacing w:line="360" w:lineRule="auto"/>
        <w:jc w:val="center"/>
        <w:textAlignment w:val="bottom"/>
        <w:rPr>
          <w:rFonts w:ascii="Cambria" w:hAnsi="Cambria"/>
          <w:b/>
          <w:sz w:val="48"/>
        </w:rPr>
      </w:pPr>
      <w:r>
        <w:rPr>
          <w:rFonts w:ascii="Cambria" w:hAnsi="Cambria" w:hint="eastAsia"/>
          <w:b/>
          <w:sz w:val="48"/>
        </w:rPr>
        <w:t>招募说明书</w:t>
      </w:r>
      <w:bookmarkEnd w:id="0"/>
      <w:bookmarkEnd w:id="1"/>
      <w:bookmarkEnd w:id="2"/>
      <w:bookmarkEnd w:id="3"/>
      <w:bookmarkEnd w:id="4"/>
      <w:bookmarkEnd w:id="5"/>
      <w:bookmarkEnd w:id="6"/>
      <w:bookmarkEnd w:id="7"/>
      <w:bookmarkEnd w:id="8"/>
      <w:bookmarkEnd w:id="9"/>
      <w:bookmarkEnd w:id="10"/>
      <w:r>
        <w:rPr>
          <w:rFonts w:ascii="Cambria" w:hAnsi="Cambria" w:hint="eastAsia"/>
          <w:b/>
          <w:sz w:val="48"/>
        </w:rPr>
        <w:t>（更新）</w:t>
      </w:r>
    </w:p>
    <w:p w14:paraId="2EF37700" w14:textId="63CC5B11" w:rsidR="008A6127" w:rsidRDefault="00437D9F">
      <w:pPr>
        <w:tabs>
          <w:tab w:val="left" w:pos="540"/>
        </w:tabs>
        <w:adjustRightInd w:val="0"/>
        <w:snapToGrid w:val="0"/>
        <w:spacing w:line="360" w:lineRule="auto"/>
        <w:jc w:val="center"/>
        <w:rPr>
          <w:rFonts w:ascii="Cambria" w:hAnsi="Cambria" w:cs="Arial"/>
          <w:b/>
          <w:sz w:val="36"/>
          <w:szCs w:val="30"/>
        </w:rPr>
      </w:pPr>
      <w:r>
        <w:rPr>
          <w:rFonts w:ascii="Cambria" w:hAnsi="Cambria" w:cs="Arial" w:hint="eastAsia"/>
          <w:b/>
          <w:sz w:val="36"/>
          <w:szCs w:val="30"/>
        </w:rPr>
        <w:t>（</w:t>
      </w:r>
      <w:r w:rsidR="0086694B">
        <w:rPr>
          <w:rFonts w:ascii="Cambria" w:hAnsi="Cambria" w:cs="Arial"/>
          <w:b/>
          <w:sz w:val="36"/>
          <w:szCs w:val="30"/>
        </w:rPr>
        <w:t>2026</w:t>
      </w:r>
      <w:r>
        <w:rPr>
          <w:rFonts w:ascii="Cambria" w:hAnsi="Cambria" w:cs="Arial" w:hint="eastAsia"/>
          <w:b/>
          <w:sz w:val="36"/>
          <w:szCs w:val="30"/>
        </w:rPr>
        <w:t>年</w:t>
      </w:r>
      <w:r w:rsidR="00230339">
        <w:rPr>
          <w:rFonts w:ascii="Cambria" w:hAnsi="Cambria" w:cs="Arial" w:hint="eastAsia"/>
          <w:b/>
          <w:sz w:val="36"/>
          <w:szCs w:val="30"/>
        </w:rPr>
        <w:t>第</w:t>
      </w:r>
      <w:r w:rsidR="00230339">
        <w:rPr>
          <w:rFonts w:ascii="Cambria" w:hAnsi="Cambria" w:cs="Arial"/>
          <w:b/>
          <w:sz w:val="36"/>
          <w:szCs w:val="30"/>
        </w:rPr>
        <w:t>2</w:t>
      </w:r>
      <w:r>
        <w:rPr>
          <w:rFonts w:ascii="Cambria" w:hAnsi="Cambria" w:cs="Arial" w:hint="eastAsia"/>
          <w:b/>
          <w:sz w:val="36"/>
          <w:szCs w:val="30"/>
        </w:rPr>
        <w:t>号）</w:t>
      </w:r>
    </w:p>
    <w:p w14:paraId="4D28F991" w14:textId="77777777" w:rsidR="008A6127" w:rsidRDefault="008A6127">
      <w:pPr>
        <w:tabs>
          <w:tab w:val="left" w:pos="540"/>
        </w:tabs>
        <w:adjustRightInd w:val="0"/>
        <w:snapToGrid w:val="0"/>
        <w:spacing w:line="360" w:lineRule="auto"/>
        <w:ind w:firstLineChars="200" w:firstLine="600"/>
        <w:jc w:val="center"/>
        <w:rPr>
          <w:rFonts w:ascii="Cambria" w:hAnsi="Cambria" w:cs="Arial"/>
          <w:sz w:val="30"/>
          <w:szCs w:val="30"/>
        </w:rPr>
      </w:pPr>
    </w:p>
    <w:p w14:paraId="37FAFCDA" w14:textId="77777777" w:rsidR="008A6127" w:rsidRDefault="008A6127">
      <w:pPr>
        <w:tabs>
          <w:tab w:val="left" w:pos="540"/>
        </w:tabs>
        <w:adjustRightInd w:val="0"/>
        <w:snapToGrid w:val="0"/>
        <w:spacing w:line="360" w:lineRule="auto"/>
        <w:ind w:firstLineChars="200" w:firstLine="600"/>
        <w:jc w:val="center"/>
        <w:rPr>
          <w:rFonts w:ascii="Cambria" w:hAnsi="Cambria" w:cs="Arial"/>
          <w:sz w:val="30"/>
          <w:szCs w:val="30"/>
        </w:rPr>
      </w:pPr>
    </w:p>
    <w:p w14:paraId="32C3147B" w14:textId="77777777" w:rsidR="008A6127" w:rsidRDefault="008A6127">
      <w:pPr>
        <w:tabs>
          <w:tab w:val="left" w:pos="540"/>
        </w:tabs>
        <w:adjustRightInd w:val="0"/>
        <w:snapToGrid w:val="0"/>
        <w:spacing w:line="360" w:lineRule="auto"/>
        <w:ind w:firstLineChars="200" w:firstLine="600"/>
        <w:jc w:val="center"/>
        <w:rPr>
          <w:rFonts w:ascii="Cambria" w:hAnsi="Cambria" w:cs="Arial"/>
          <w:sz w:val="30"/>
          <w:szCs w:val="30"/>
        </w:rPr>
      </w:pPr>
    </w:p>
    <w:p w14:paraId="00F591FF" w14:textId="77777777" w:rsidR="008A6127" w:rsidRDefault="008A6127">
      <w:pPr>
        <w:tabs>
          <w:tab w:val="left" w:pos="540"/>
        </w:tabs>
        <w:adjustRightInd w:val="0"/>
        <w:snapToGrid w:val="0"/>
        <w:spacing w:line="360" w:lineRule="auto"/>
        <w:ind w:firstLineChars="200" w:firstLine="600"/>
        <w:jc w:val="center"/>
        <w:rPr>
          <w:rFonts w:ascii="Cambria" w:hAnsi="Cambria" w:cs="Arial"/>
          <w:sz w:val="30"/>
          <w:szCs w:val="30"/>
        </w:rPr>
      </w:pPr>
    </w:p>
    <w:p w14:paraId="67EE98E9" w14:textId="77777777" w:rsidR="008A6127" w:rsidRDefault="008A6127">
      <w:pPr>
        <w:tabs>
          <w:tab w:val="left" w:pos="540"/>
        </w:tabs>
        <w:adjustRightInd w:val="0"/>
        <w:snapToGrid w:val="0"/>
        <w:spacing w:line="360" w:lineRule="auto"/>
        <w:ind w:firstLineChars="200" w:firstLine="600"/>
        <w:jc w:val="center"/>
        <w:rPr>
          <w:rFonts w:ascii="Cambria" w:hAnsi="Cambria" w:cs="Arial"/>
          <w:sz w:val="30"/>
          <w:szCs w:val="30"/>
        </w:rPr>
      </w:pPr>
    </w:p>
    <w:p w14:paraId="476D021B" w14:textId="77777777" w:rsidR="008A6127" w:rsidRDefault="008A6127">
      <w:pPr>
        <w:tabs>
          <w:tab w:val="left" w:pos="540"/>
        </w:tabs>
        <w:adjustRightInd w:val="0"/>
        <w:snapToGrid w:val="0"/>
        <w:spacing w:line="360" w:lineRule="auto"/>
        <w:ind w:firstLineChars="200" w:firstLine="600"/>
        <w:jc w:val="center"/>
        <w:rPr>
          <w:rFonts w:ascii="Cambria" w:hAnsi="Cambria" w:cs="Arial"/>
          <w:sz w:val="30"/>
          <w:szCs w:val="30"/>
        </w:rPr>
      </w:pPr>
    </w:p>
    <w:p w14:paraId="3BF6947C" w14:textId="77777777" w:rsidR="008A6127" w:rsidRDefault="008A6127">
      <w:pPr>
        <w:tabs>
          <w:tab w:val="left" w:pos="540"/>
        </w:tabs>
        <w:adjustRightInd w:val="0"/>
        <w:snapToGrid w:val="0"/>
        <w:spacing w:line="360" w:lineRule="auto"/>
        <w:ind w:firstLineChars="200" w:firstLine="600"/>
        <w:jc w:val="center"/>
        <w:rPr>
          <w:rFonts w:ascii="Cambria" w:hAnsi="Cambria" w:cs="Arial"/>
          <w:sz w:val="30"/>
          <w:szCs w:val="30"/>
        </w:rPr>
      </w:pPr>
    </w:p>
    <w:p w14:paraId="7DAB283E" w14:textId="77777777" w:rsidR="008A6127" w:rsidRDefault="008A6127">
      <w:pPr>
        <w:tabs>
          <w:tab w:val="left" w:pos="540"/>
        </w:tabs>
        <w:adjustRightInd w:val="0"/>
        <w:snapToGrid w:val="0"/>
        <w:spacing w:line="360" w:lineRule="auto"/>
        <w:ind w:firstLineChars="200" w:firstLine="600"/>
        <w:jc w:val="center"/>
        <w:rPr>
          <w:rFonts w:ascii="Cambria" w:hAnsi="Cambria" w:cs="Arial"/>
          <w:sz w:val="30"/>
          <w:szCs w:val="30"/>
        </w:rPr>
      </w:pPr>
    </w:p>
    <w:p w14:paraId="2A33D281" w14:textId="77777777" w:rsidR="008A6127" w:rsidRDefault="00437D9F">
      <w:pPr>
        <w:tabs>
          <w:tab w:val="left" w:pos="540"/>
        </w:tabs>
        <w:adjustRightInd w:val="0"/>
        <w:snapToGrid w:val="0"/>
        <w:spacing w:line="360" w:lineRule="auto"/>
        <w:jc w:val="center"/>
        <w:rPr>
          <w:rFonts w:ascii="Cambria" w:hAnsi="Cambria" w:cs="Arial"/>
          <w:sz w:val="30"/>
          <w:szCs w:val="30"/>
        </w:rPr>
      </w:pPr>
      <w:r>
        <w:rPr>
          <w:rFonts w:ascii="Cambria" w:hAnsi="Cambria" w:cs="Arial" w:hint="eastAsia"/>
          <w:sz w:val="30"/>
          <w:szCs w:val="30"/>
        </w:rPr>
        <w:t xml:space="preserve">  </w:t>
      </w:r>
    </w:p>
    <w:p w14:paraId="211F5BA2" w14:textId="77777777" w:rsidR="008A6127" w:rsidRDefault="00437D9F">
      <w:pPr>
        <w:tabs>
          <w:tab w:val="left" w:pos="540"/>
        </w:tabs>
        <w:adjustRightInd w:val="0"/>
        <w:snapToGrid w:val="0"/>
        <w:spacing w:line="360" w:lineRule="auto"/>
        <w:jc w:val="center"/>
        <w:rPr>
          <w:rFonts w:ascii="Cambria" w:hAnsi="Cambria" w:cs="Arial"/>
          <w:b/>
          <w:sz w:val="36"/>
          <w:szCs w:val="30"/>
        </w:rPr>
      </w:pPr>
      <w:r>
        <w:rPr>
          <w:rFonts w:ascii="Cambria" w:hAnsi="Cambria" w:cs="Arial" w:hint="eastAsia"/>
          <w:b/>
          <w:sz w:val="36"/>
          <w:szCs w:val="30"/>
        </w:rPr>
        <w:t>基金管理人：朱雀基金管理有限公司</w:t>
      </w:r>
    </w:p>
    <w:p w14:paraId="4B0B153E" w14:textId="77777777" w:rsidR="008A6127" w:rsidRDefault="00437D9F">
      <w:pPr>
        <w:tabs>
          <w:tab w:val="left" w:pos="540"/>
        </w:tabs>
        <w:adjustRightInd w:val="0"/>
        <w:snapToGrid w:val="0"/>
        <w:spacing w:line="360" w:lineRule="auto"/>
        <w:jc w:val="center"/>
        <w:rPr>
          <w:rFonts w:ascii="Cambria" w:hAnsi="Cambria" w:cs="Arial"/>
          <w:b/>
          <w:sz w:val="36"/>
          <w:szCs w:val="30"/>
        </w:rPr>
      </w:pPr>
      <w:r>
        <w:rPr>
          <w:rFonts w:ascii="Cambria" w:hAnsi="Cambria" w:cs="Arial" w:hint="eastAsia"/>
          <w:b/>
          <w:sz w:val="36"/>
          <w:szCs w:val="30"/>
        </w:rPr>
        <w:t>基金托管人：招商银行股份有限公司</w:t>
      </w:r>
    </w:p>
    <w:p w14:paraId="033AB8A1" w14:textId="31CE78EA" w:rsidR="008A6127" w:rsidRDefault="00437D9F">
      <w:pPr>
        <w:tabs>
          <w:tab w:val="left" w:pos="540"/>
        </w:tabs>
        <w:adjustRightInd w:val="0"/>
        <w:snapToGrid w:val="0"/>
        <w:spacing w:line="360" w:lineRule="auto"/>
        <w:jc w:val="center"/>
        <w:rPr>
          <w:rFonts w:ascii="Cambria" w:hAnsi="Cambria" w:cs="Arial"/>
          <w:b/>
          <w:sz w:val="36"/>
          <w:szCs w:val="30"/>
        </w:rPr>
      </w:pPr>
      <w:r>
        <w:rPr>
          <w:rFonts w:ascii="Cambria" w:hAnsi="Cambria" w:cs="Arial" w:hint="eastAsia"/>
          <w:b/>
          <w:sz w:val="36"/>
          <w:szCs w:val="30"/>
        </w:rPr>
        <w:t>二〇二</w:t>
      </w:r>
      <w:r w:rsidR="0086694B">
        <w:rPr>
          <w:rFonts w:ascii="Cambria" w:hAnsi="Cambria" w:cs="Arial" w:hint="eastAsia"/>
          <w:b/>
          <w:sz w:val="36"/>
          <w:szCs w:val="30"/>
        </w:rPr>
        <w:t>六</w:t>
      </w:r>
      <w:r>
        <w:rPr>
          <w:rFonts w:ascii="Cambria" w:hAnsi="Cambria" w:cs="Arial" w:hint="eastAsia"/>
          <w:b/>
          <w:sz w:val="36"/>
          <w:szCs w:val="30"/>
        </w:rPr>
        <w:t>年</w:t>
      </w:r>
      <w:r w:rsidR="00230339">
        <w:rPr>
          <w:rFonts w:ascii="Cambria" w:hAnsi="Cambria" w:cs="Arial" w:hint="eastAsia"/>
          <w:b/>
          <w:sz w:val="36"/>
          <w:szCs w:val="30"/>
        </w:rPr>
        <w:t>九</w:t>
      </w:r>
      <w:r>
        <w:rPr>
          <w:rFonts w:ascii="Cambria" w:hAnsi="Cambria" w:cs="Arial" w:hint="eastAsia"/>
          <w:b/>
          <w:sz w:val="36"/>
          <w:szCs w:val="30"/>
        </w:rPr>
        <w:t>月</w:t>
      </w:r>
    </w:p>
    <w:p w14:paraId="7EC9A870" w14:textId="77777777" w:rsidR="008A6127" w:rsidRDefault="008A6127">
      <w:pPr>
        <w:pStyle w:val="33"/>
        <w:snapToGrid w:val="0"/>
        <w:spacing w:line="360" w:lineRule="auto"/>
        <w:ind w:firstLine="0"/>
        <w:rPr>
          <w:rFonts w:ascii="Cambria" w:hAnsi="Cambria"/>
          <w:sz w:val="21"/>
        </w:rPr>
      </w:pPr>
    </w:p>
    <w:p w14:paraId="380DF9BE" w14:textId="77777777" w:rsidR="008A6127" w:rsidRDefault="008A6127">
      <w:pPr>
        <w:snapToGrid w:val="0"/>
        <w:spacing w:line="360" w:lineRule="auto"/>
        <w:jc w:val="center"/>
        <w:rPr>
          <w:rFonts w:ascii="Cambria" w:hAnsi="Cambria"/>
          <w:sz w:val="30"/>
        </w:rPr>
        <w:sectPr w:rsidR="008A6127">
          <w:headerReference w:type="default" r:id="rId8"/>
          <w:footerReference w:type="even" r:id="rId9"/>
          <w:headerReference w:type="first" r:id="rId10"/>
          <w:pgSz w:w="11906" w:h="16838"/>
          <w:pgMar w:top="1440" w:right="1800" w:bottom="1440" w:left="1800" w:header="851" w:footer="992" w:gutter="0"/>
          <w:cols w:space="720"/>
          <w:titlePg/>
          <w:docGrid w:type="lines" w:linePitch="312"/>
        </w:sectPr>
      </w:pPr>
    </w:p>
    <w:p w14:paraId="0B32D115" w14:textId="77777777" w:rsidR="008A6127" w:rsidRDefault="008A6127">
      <w:pPr>
        <w:snapToGrid w:val="0"/>
        <w:spacing w:line="360" w:lineRule="auto"/>
        <w:jc w:val="center"/>
        <w:rPr>
          <w:rFonts w:ascii="Cambria" w:hAnsi="Cambria"/>
          <w:sz w:val="24"/>
        </w:rPr>
      </w:pPr>
    </w:p>
    <w:p w14:paraId="378BCB0D" w14:textId="77777777" w:rsidR="008A6127" w:rsidRDefault="00437D9F">
      <w:pPr>
        <w:snapToGrid w:val="0"/>
        <w:spacing w:line="360" w:lineRule="auto"/>
        <w:jc w:val="center"/>
        <w:rPr>
          <w:rFonts w:ascii="Cambria" w:hAnsi="Cambria"/>
          <w:b/>
          <w:bCs/>
          <w:sz w:val="24"/>
        </w:rPr>
      </w:pPr>
      <w:r>
        <w:rPr>
          <w:rFonts w:ascii="Cambria" w:hAnsi="Cambria" w:hint="eastAsia"/>
          <w:b/>
          <w:bCs/>
          <w:sz w:val="24"/>
        </w:rPr>
        <w:t>重要提示</w:t>
      </w:r>
    </w:p>
    <w:p w14:paraId="08F982F3" w14:textId="77777777" w:rsidR="008A6127" w:rsidRDefault="008A6127">
      <w:pPr>
        <w:snapToGrid w:val="0"/>
        <w:spacing w:line="360" w:lineRule="auto"/>
        <w:jc w:val="center"/>
        <w:rPr>
          <w:rFonts w:ascii="Cambria" w:hAnsi="Cambria"/>
          <w:b/>
          <w:bCs/>
          <w:sz w:val="24"/>
        </w:rPr>
      </w:pPr>
    </w:p>
    <w:p w14:paraId="672153DB"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w:t>
      </w:r>
      <w:bookmarkStart w:id="11" w:name="_Hlk1114515"/>
      <w:r>
        <w:rPr>
          <w:rFonts w:ascii="宋体" w:hAnsi="宋体" w:hint="eastAsia"/>
          <w:sz w:val="24"/>
        </w:rPr>
        <w:t>朱雀产业</w:t>
      </w:r>
      <w:proofErr w:type="gramStart"/>
      <w:r>
        <w:rPr>
          <w:rFonts w:ascii="宋体" w:hAnsi="宋体" w:hint="eastAsia"/>
          <w:sz w:val="24"/>
        </w:rPr>
        <w:t>臻</w:t>
      </w:r>
      <w:proofErr w:type="gramEnd"/>
      <w:r>
        <w:rPr>
          <w:rFonts w:ascii="宋体" w:hAnsi="宋体" w:hint="eastAsia"/>
          <w:sz w:val="24"/>
        </w:rPr>
        <w:t>选混合型</w:t>
      </w:r>
      <w:bookmarkEnd w:id="11"/>
      <w:r>
        <w:rPr>
          <w:rFonts w:ascii="宋体" w:hAnsi="宋体" w:hint="eastAsia"/>
          <w:sz w:val="24"/>
        </w:rPr>
        <w:t>证券投资基金（以下简称“本基金”）经</w:t>
      </w:r>
      <w:r>
        <w:rPr>
          <w:rFonts w:ascii="宋体" w:hAnsi="宋体"/>
          <w:sz w:val="24"/>
        </w:rPr>
        <w:t>2019</w:t>
      </w:r>
      <w:r>
        <w:rPr>
          <w:rFonts w:ascii="宋体" w:hAnsi="宋体" w:hint="eastAsia"/>
          <w:sz w:val="24"/>
        </w:rPr>
        <w:t>年</w:t>
      </w:r>
      <w:r>
        <w:rPr>
          <w:rFonts w:ascii="宋体" w:hAnsi="宋体"/>
          <w:sz w:val="24"/>
        </w:rPr>
        <w:t>5</w:t>
      </w:r>
      <w:r>
        <w:rPr>
          <w:rFonts w:ascii="宋体" w:hAnsi="宋体" w:hint="eastAsia"/>
          <w:sz w:val="24"/>
        </w:rPr>
        <w:t>月</w:t>
      </w:r>
      <w:r>
        <w:rPr>
          <w:rFonts w:ascii="宋体" w:hAnsi="宋体"/>
          <w:sz w:val="24"/>
        </w:rPr>
        <w:t>17</w:t>
      </w:r>
      <w:r>
        <w:rPr>
          <w:rFonts w:ascii="宋体" w:hAnsi="宋体" w:hint="eastAsia"/>
          <w:sz w:val="24"/>
        </w:rPr>
        <w:t>日中国证券监督管理委员会（以下简称“中国证监会”）《关于准予朱雀产业臻选混合型证券投资基金注册的批复》（证监许可【</w:t>
      </w:r>
      <w:r>
        <w:rPr>
          <w:rFonts w:ascii="宋体" w:hAnsi="宋体"/>
          <w:sz w:val="24"/>
        </w:rPr>
        <w:t>2019</w:t>
      </w:r>
      <w:r>
        <w:rPr>
          <w:rFonts w:ascii="宋体" w:hAnsi="宋体" w:hint="eastAsia"/>
          <w:sz w:val="24"/>
        </w:rPr>
        <w:t>】</w:t>
      </w:r>
      <w:r>
        <w:rPr>
          <w:rFonts w:ascii="宋体" w:hAnsi="宋体"/>
          <w:sz w:val="24"/>
        </w:rPr>
        <w:t>910</w:t>
      </w:r>
      <w:r>
        <w:rPr>
          <w:rFonts w:ascii="宋体" w:hAnsi="宋体" w:hint="eastAsia"/>
          <w:sz w:val="24"/>
        </w:rPr>
        <w:t>号文）准予募集注册。本基金的基金合同已于</w:t>
      </w:r>
      <w:r>
        <w:rPr>
          <w:rFonts w:ascii="宋体" w:hAnsi="宋体"/>
          <w:sz w:val="24"/>
        </w:rPr>
        <w:t>2019</w:t>
      </w:r>
      <w:r>
        <w:rPr>
          <w:rFonts w:ascii="宋体" w:hAnsi="宋体" w:hint="eastAsia"/>
          <w:sz w:val="24"/>
        </w:rPr>
        <w:t>年</w:t>
      </w:r>
      <w:r>
        <w:rPr>
          <w:rFonts w:ascii="宋体" w:hAnsi="宋体"/>
          <w:sz w:val="24"/>
        </w:rPr>
        <w:t>6</w:t>
      </w:r>
      <w:r>
        <w:rPr>
          <w:rFonts w:ascii="宋体" w:hAnsi="宋体" w:hint="eastAsia"/>
          <w:sz w:val="24"/>
        </w:rPr>
        <w:t>月</w:t>
      </w:r>
      <w:r>
        <w:rPr>
          <w:rFonts w:ascii="宋体" w:hAnsi="宋体"/>
          <w:sz w:val="24"/>
        </w:rPr>
        <w:t>27</w:t>
      </w:r>
      <w:r>
        <w:rPr>
          <w:rFonts w:ascii="宋体" w:hAnsi="宋体" w:hint="eastAsia"/>
          <w:sz w:val="24"/>
        </w:rPr>
        <w:t>日正式生效。</w:t>
      </w:r>
    </w:p>
    <w:p w14:paraId="049ADF84"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、基金管理人保证招募说明书的内容真实、准确、完整。本招募说明书经中国证监会注册，但中国证监会对本基金募集的注册，并不表明其对本基金的收益、投资价值和市场前景</w:t>
      </w:r>
      <w:proofErr w:type="gramStart"/>
      <w:r>
        <w:rPr>
          <w:rFonts w:ascii="宋体" w:hAnsi="宋体" w:hint="eastAsia"/>
          <w:sz w:val="24"/>
        </w:rPr>
        <w:t>作出</w:t>
      </w:r>
      <w:proofErr w:type="gramEnd"/>
      <w:r>
        <w:rPr>
          <w:rFonts w:ascii="宋体" w:hAnsi="宋体" w:hint="eastAsia"/>
          <w:sz w:val="24"/>
        </w:rPr>
        <w:t>实质性判断或保证，也不表明投资于本基金没有风险。</w:t>
      </w:r>
    </w:p>
    <w:p w14:paraId="447D6E1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3、基金管理人依照恪尽职守、诚实信用、谨慎勤勉的原则管理和运用基金财产，但不保证投资于本基金一定盈利，也不保证最低收益和投资本金不受损失。</w:t>
      </w:r>
    </w:p>
    <w:p w14:paraId="1AF56FD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投资有风险，投资人认购（或申购）基金时应认真阅读本基金《招募说明书》</w:t>
      </w:r>
      <w:r>
        <w:rPr>
          <w:rFonts w:ascii="宋体" w:hAnsi="宋体" w:hint="eastAsia"/>
          <w:sz w:val="24"/>
        </w:rPr>
        <w:t>、基金产品资料概要</w:t>
      </w:r>
      <w:r>
        <w:rPr>
          <w:rFonts w:ascii="宋体" w:hAnsi="宋体"/>
          <w:sz w:val="24"/>
        </w:rPr>
        <w:t>及《基金合同》等</w:t>
      </w:r>
      <w:r>
        <w:rPr>
          <w:rFonts w:ascii="宋体" w:hAnsi="宋体" w:hint="eastAsia"/>
          <w:sz w:val="24"/>
        </w:rPr>
        <w:t>信息披露文件</w:t>
      </w:r>
      <w:r>
        <w:rPr>
          <w:rFonts w:ascii="宋体" w:hAnsi="宋体"/>
          <w:sz w:val="24"/>
        </w:rPr>
        <w:t>，</w:t>
      </w:r>
      <w:r>
        <w:rPr>
          <w:rFonts w:ascii="宋体" w:hAnsi="宋体" w:hint="eastAsia"/>
          <w:sz w:val="24"/>
        </w:rPr>
        <w:t>自主判断基金的投资价值，</w:t>
      </w:r>
      <w:r>
        <w:rPr>
          <w:rFonts w:ascii="宋体" w:hAnsi="宋体"/>
          <w:sz w:val="24"/>
        </w:rPr>
        <w:t>全面认识本基金产品的风险收益特征</w:t>
      </w:r>
      <w:r>
        <w:rPr>
          <w:rFonts w:ascii="宋体" w:hAnsi="宋体" w:hint="eastAsia"/>
          <w:sz w:val="24"/>
        </w:rPr>
        <w:t>和产品特性，充分考虑自身的风险承受能力，理性判断市场，对投资本基金的意愿、时机、数量等投资行为自主</w:t>
      </w:r>
      <w:proofErr w:type="gramStart"/>
      <w:r>
        <w:rPr>
          <w:rFonts w:ascii="宋体" w:hAnsi="宋体" w:hint="eastAsia"/>
          <w:sz w:val="24"/>
        </w:rPr>
        <w:t>作出</w:t>
      </w:r>
      <w:proofErr w:type="gramEnd"/>
      <w:r>
        <w:rPr>
          <w:rFonts w:ascii="宋体" w:hAnsi="宋体" w:hint="eastAsia"/>
          <w:sz w:val="24"/>
        </w:rPr>
        <w:t>独立决策。投资者根据所持有份额享受基金的收益，但同时也需承担相应的投资风险。投资本基金可能遇到的风险包括：市场风险、管理风险、流动性风险、信用风险、本基金投资策略所特有的风险、投资可转换债券和可交换债券的特定风险、投资股指期货的特定风险、投资港股通标的</w:t>
      </w:r>
      <w:proofErr w:type="gramStart"/>
      <w:r>
        <w:rPr>
          <w:rFonts w:ascii="宋体" w:hAnsi="宋体" w:hint="eastAsia"/>
          <w:sz w:val="24"/>
        </w:rPr>
        <w:t>的</w:t>
      </w:r>
      <w:proofErr w:type="gramEnd"/>
      <w:r>
        <w:rPr>
          <w:rFonts w:ascii="宋体" w:hAnsi="宋体" w:hint="eastAsia"/>
          <w:sz w:val="24"/>
        </w:rPr>
        <w:t>特定风险、投资</w:t>
      </w:r>
      <w:proofErr w:type="gramStart"/>
      <w:r>
        <w:rPr>
          <w:rFonts w:ascii="宋体" w:hAnsi="宋体" w:hint="eastAsia"/>
          <w:sz w:val="24"/>
        </w:rPr>
        <w:t>科创板股</w:t>
      </w:r>
      <w:proofErr w:type="gramEnd"/>
      <w:r>
        <w:rPr>
          <w:rFonts w:ascii="宋体" w:hAnsi="宋体" w:hint="eastAsia"/>
          <w:sz w:val="24"/>
        </w:rPr>
        <w:t>票的特定风险、投资流通受限证券的特定风险、投资存托凭证的风险、投资北交所股票的特定风险、基金管理人职责终止风险、本基金法律文件风险收益特征表述与销售机构基金风险评价可能不一致的风险、其他风险等。</w:t>
      </w:r>
    </w:p>
    <w:p w14:paraId="54CFDB1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本基金投资于具有良好流动性的金融工具，包括国内依法发行上市的股票（含中小板、创业板及其他经中国证监会核准上市的股票</w:t>
      </w:r>
      <w:r>
        <w:rPr>
          <w:rFonts w:ascii="宋体" w:hAnsi="宋体" w:hint="eastAsia"/>
          <w:bCs/>
          <w:sz w:val="24"/>
        </w:rPr>
        <w:t>、存托凭证</w:t>
      </w:r>
      <w:r>
        <w:rPr>
          <w:rFonts w:ascii="宋体" w:hAnsi="宋体" w:hint="eastAsia"/>
          <w:sz w:val="24"/>
        </w:rPr>
        <w:t>）、港股通标的股票、债券（包括国债、央行票据、金融债券、企业债券、公司债券、中期票据、短期融资</w:t>
      </w:r>
      <w:proofErr w:type="gramStart"/>
      <w:r>
        <w:rPr>
          <w:rFonts w:ascii="宋体" w:hAnsi="宋体" w:hint="eastAsia"/>
          <w:sz w:val="24"/>
        </w:rPr>
        <w:t>券</w:t>
      </w:r>
      <w:proofErr w:type="gramEnd"/>
      <w:r>
        <w:rPr>
          <w:rFonts w:ascii="宋体" w:hAnsi="宋体" w:hint="eastAsia"/>
          <w:sz w:val="24"/>
        </w:rPr>
        <w:t>、超短期融资券、公开发行的次级债券、政府机构债券、地方政府债券、可交换债券、可转换债券（含分离交易可转债</w:t>
      </w:r>
      <w:proofErr w:type="gramStart"/>
      <w:r>
        <w:rPr>
          <w:rFonts w:ascii="宋体" w:hAnsi="宋体" w:hint="eastAsia"/>
          <w:sz w:val="24"/>
        </w:rPr>
        <w:t>的纯债部</w:t>
      </w:r>
      <w:proofErr w:type="gramEnd"/>
      <w:r>
        <w:rPr>
          <w:rFonts w:ascii="宋体" w:hAnsi="宋体" w:hint="eastAsia"/>
          <w:sz w:val="24"/>
        </w:rPr>
        <w:t>分）及其他经中国证监会允许投资的债券）、债券回购、同业存单、银行存款（包括协议存款、</w:t>
      </w:r>
      <w:r>
        <w:rPr>
          <w:rFonts w:ascii="宋体" w:hAnsi="宋体" w:hint="eastAsia"/>
          <w:sz w:val="24"/>
        </w:rPr>
        <w:lastRenderedPageBreak/>
        <w:t>定期存款及其他银行存款）、货币市场工具、股指期货以及法律法规或中国证监会允许基金投资的其他金融工具（但须符合中国证监会相关规定）。在正常市场环境下本基金的流动性风险适中。但如出现证券市场的成交量发生急剧萎缩等特殊市场条件、基金发生巨额赎回以及其他未能预见的特殊情形，可能导致基金资产变现困难或变现对证券资产价格造成较大冲击，发生基金份额净值波动幅度较大、无法进行正常赎回业务、基金不能实现既定的投资目标与策略等风险。</w:t>
      </w:r>
    </w:p>
    <w:p w14:paraId="4514578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5、本基金为混合型基金，其风险和预期收益水平高于债券型基金及货币市场基金，而低于股票型基金。本基金将投资港股通标的股票，需承担港股</w:t>
      </w:r>
      <w:proofErr w:type="gramStart"/>
      <w:r>
        <w:rPr>
          <w:rFonts w:ascii="宋体" w:hAnsi="宋体" w:hint="eastAsia"/>
          <w:sz w:val="24"/>
        </w:rPr>
        <w:t>通机制</w:t>
      </w:r>
      <w:proofErr w:type="gramEnd"/>
      <w:r>
        <w:rPr>
          <w:rFonts w:ascii="宋体" w:hAnsi="宋体" w:hint="eastAsia"/>
          <w:sz w:val="24"/>
        </w:rPr>
        <w:t>下因投资环境、投资标的、市场制度以及交易规则等差异带来的特有风险。</w:t>
      </w:r>
    </w:p>
    <w:p w14:paraId="386F6210" w14:textId="77777777" w:rsidR="008A6127" w:rsidRDefault="00437D9F">
      <w:pPr>
        <w:snapToGrid w:val="0"/>
        <w:spacing w:line="360" w:lineRule="auto"/>
        <w:ind w:firstLineChars="200" w:firstLine="480"/>
        <w:rPr>
          <w:rFonts w:ascii="宋体" w:hAnsi="宋体"/>
          <w:sz w:val="24"/>
        </w:rPr>
      </w:pPr>
      <w:r>
        <w:rPr>
          <w:rFonts w:ascii="宋体" w:hAnsi="宋体"/>
          <w:sz w:val="24"/>
        </w:rPr>
        <w:t>6</w:t>
      </w:r>
      <w:r>
        <w:rPr>
          <w:rFonts w:ascii="宋体" w:hAnsi="宋体" w:hint="eastAsia"/>
          <w:sz w:val="24"/>
        </w:rPr>
        <w:t>、本基金的流动性风险主要体现为基金申购、赎回等因素对基金造成的流动性影响。在基金交易过程中，可能会发生巨额赎回的情形。巨额赎回可能会产生基金</w:t>
      </w:r>
      <w:proofErr w:type="gramStart"/>
      <w:r>
        <w:rPr>
          <w:rFonts w:ascii="宋体" w:hAnsi="宋体" w:hint="eastAsia"/>
          <w:sz w:val="24"/>
        </w:rPr>
        <w:t>仓位</w:t>
      </w:r>
      <w:proofErr w:type="gramEnd"/>
      <w:r>
        <w:rPr>
          <w:rFonts w:ascii="宋体" w:hAnsi="宋体" w:hint="eastAsia"/>
          <w:sz w:val="24"/>
        </w:rPr>
        <w:t>调整的困难，导致流动性风险，甚至影响基金份额净值。</w:t>
      </w:r>
    </w:p>
    <w:p w14:paraId="2411CF3D" w14:textId="77777777" w:rsidR="008A6127" w:rsidRDefault="00437D9F">
      <w:pPr>
        <w:snapToGrid w:val="0"/>
        <w:spacing w:line="360" w:lineRule="auto"/>
        <w:ind w:firstLineChars="200" w:firstLine="480"/>
        <w:rPr>
          <w:rFonts w:ascii="宋体" w:hAnsi="宋体"/>
          <w:sz w:val="24"/>
        </w:rPr>
      </w:pPr>
      <w:r>
        <w:rPr>
          <w:rFonts w:ascii="宋体" w:hAnsi="宋体"/>
          <w:sz w:val="24"/>
        </w:rPr>
        <w:t>7</w:t>
      </w:r>
      <w:r>
        <w:rPr>
          <w:rFonts w:ascii="宋体" w:hAnsi="宋体" w:hint="eastAsia"/>
          <w:sz w:val="24"/>
        </w:rPr>
        <w:t>、投资者应充分考虑自身的风险承受能力，并对于认购（或申购）基金的意愿、时机、数量等投资行为</w:t>
      </w:r>
      <w:proofErr w:type="gramStart"/>
      <w:r>
        <w:rPr>
          <w:rFonts w:ascii="宋体" w:hAnsi="宋体" w:hint="eastAsia"/>
          <w:sz w:val="24"/>
        </w:rPr>
        <w:t>作出</w:t>
      </w:r>
      <w:proofErr w:type="gramEnd"/>
      <w:r>
        <w:rPr>
          <w:rFonts w:ascii="宋体" w:hAnsi="宋体" w:hint="eastAsia"/>
          <w:sz w:val="24"/>
        </w:rPr>
        <w:t>独立决策。基金管理人提醒投资者基金投资的“买者自负”原则，在投资者</w:t>
      </w:r>
      <w:proofErr w:type="gramStart"/>
      <w:r>
        <w:rPr>
          <w:rFonts w:ascii="宋体" w:hAnsi="宋体" w:hint="eastAsia"/>
          <w:sz w:val="24"/>
        </w:rPr>
        <w:t>作出</w:t>
      </w:r>
      <w:proofErr w:type="gramEnd"/>
      <w:r>
        <w:rPr>
          <w:rFonts w:ascii="宋体" w:hAnsi="宋体" w:hint="eastAsia"/>
          <w:sz w:val="24"/>
        </w:rPr>
        <w:t>投资决策后，基金运营状况与基金净值变化引致的投资风险，由投资者自行负责。</w:t>
      </w:r>
    </w:p>
    <w:p w14:paraId="5A481F51" w14:textId="77777777" w:rsidR="008A6127" w:rsidRDefault="00437D9F">
      <w:pPr>
        <w:snapToGrid w:val="0"/>
        <w:spacing w:line="360" w:lineRule="auto"/>
        <w:ind w:firstLineChars="200" w:firstLine="480"/>
        <w:rPr>
          <w:rFonts w:ascii="宋体" w:hAnsi="宋体"/>
          <w:sz w:val="24"/>
        </w:rPr>
      </w:pPr>
      <w:r>
        <w:rPr>
          <w:rFonts w:ascii="宋体" w:hAnsi="宋体"/>
          <w:sz w:val="24"/>
        </w:rPr>
        <w:t>8</w:t>
      </w:r>
      <w:r>
        <w:rPr>
          <w:rFonts w:ascii="宋体" w:hAnsi="宋体" w:hint="eastAsia"/>
          <w:sz w:val="24"/>
        </w:rPr>
        <w:t>、基金的过往业绩并不预示其未来表现，基金管理人管理的其他基金的业绩也不构成对本基金业绩表现的保证。</w:t>
      </w:r>
    </w:p>
    <w:p w14:paraId="1BE63D32" w14:textId="77777777" w:rsidR="008A6127" w:rsidRDefault="00437D9F">
      <w:pPr>
        <w:snapToGrid w:val="0"/>
        <w:spacing w:line="360" w:lineRule="auto"/>
        <w:ind w:firstLineChars="200" w:firstLine="480"/>
        <w:rPr>
          <w:rFonts w:ascii="宋体" w:hAnsi="宋体"/>
          <w:sz w:val="24"/>
        </w:rPr>
      </w:pPr>
      <w:r>
        <w:rPr>
          <w:rFonts w:ascii="宋体" w:hAnsi="宋体"/>
          <w:sz w:val="24"/>
        </w:rPr>
        <w:t>9</w:t>
      </w:r>
      <w:r>
        <w:rPr>
          <w:rFonts w:ascii="宋体" w:hAnsi="宋体" w:hint="eastAsia"/>
          <w:sz w:val="24"/>
        </w:rPr>
        <w:t>、本基金若投资于内地与相关股票市场交易互联互通机制允许买卖的规定范围内的香港联合交易所上市的股票（以下简称</w:t>
      </w:r>
      <w:r>
        <w:rPr>
          <w:rFonts w:ascii="宋体" w:hAnsi="宋体"/>
          <w:sz w:val="24"/>
        </w:rPr>
        <w:t>“</w:t>
      </w:r>
      <w:r>
        <w:rPr>
          <w:rFonts w:ascii="宋体" w:hAnsi="宋体" w:hint="eastAsia"/>
          <w:sz w:val="24"/>
        </w:rPr>
        <w:t>港股通标的股票</w:t>
      </w:r>
      <w:r>
        <w:rPr>
          <w:rFonts w:ascii="宋体" w:hAnsi="宋体"/>
          <w:sz w:val="24"/>
        </w:rPr>
        <w:t>”</w:t>
      </w:r>
      <w:r>
        <w:rPr>
          <w:rFonts w:ascii="宋体" w:hAnsi="宋体" w:hint="eastAsia"/>
          <w:sz w:val="24"/>
        </w:rPr>
        <w:t>），将承担港股</w:t>
      </w:r>
      <w:proofErr w:type="gramStart"/>
      <w:r>
        <w:rPr>
          <w:rFonts w:ascii="宋体" w:hAnsi="宋体" w:hint="eastAsia"/>
          <w:sz w:val="24"/>
        </w:rPr>
        <w:t>通机制</w:t>
      </w:r>
      <w:proofErr w:type="gramEnd"/>
      <w:r>
        <w:rPr>
          <w:rFonts w:ascii="宋体" w:hAnsi="宋体" w:hint="eastAsia"/>
          <w:sz w:val="24"/>
        </w:rPr>
        <w:t>下因投资环境、投资标的、市场制度以及交易规则等差异带来的特有风险，包括港股市场股价波动较大的风险（港股市</w:t>
      </w:r>
      <w:proofErr w:type="gramStart"/>
      <w:r>
        <w:rPr>
          <w:rFonts w:ascii="宋体" w:hAnsi="宋体" w:hint="eastAsia"/>
          <w:sz w:val="24"/>
        </w:rPr>
        <w:t>场实</w:t>
      </w:r>
      <w:proofErr w:type="gramEnd"/>
      <w:r>
        <w:rPr>
          <w:rFonts w:ascii="宋体" w:hAnsi="宋体" w:hint="eastAsia"/>
          <w:sz w:val="24"/>
        </w:rPr>
        <w:t>行</w:t>
      </w:r>
      <w:r>
        <w:rPr>
          <w:rFonts w:ascii="宋体" w:hAnsi="宋体"/>
          <w:sz w:val="24"/>
        </w:rPr>
        <w:t>T+0</w:t>
      </w:r>
      <w:r>
        <w:rPr>
          <w:rFonts w:ascii="宋体" w:hAnsi="宋体" w:hint="eastAsia"/>
          <w:sz w:val="24"/>
        </w:rPr>
        <w:t>回转交易，且对个股不设涨跌幅限制，港股股价可能表现出比</w:t>
      </w:r>
      <w:r>
        <w:rPr>
          <w:rFonts w:ascii="宋体" w:hAnsi="宋体"/>
          <w:sz w:val="24"/>
        </w:rPr>
        <w:t>A</w:t>
      </w:r>
      <w:r>
        <w:rPr>
          <w:rFonts w:ascii="宋体" w:hAnsi="宋体" w:hint="eastAsia"/>
          <w:sz w:val="24"/>
        </w:rPr>
        <w:t>股更为剧烈的股价波动）、汇率风险（汇率波动可能对基金的投资收益造成损失）、港股</w:t>
      </w:r>
      <w:proofErr w:type="gramStart"/>
      <w:r>
        <w:rPr>
          <w:rFonts w:ascii="宋体" w:hAnsi="宋体" w:hint="eastAsia"/>
          <w:sz w:val="24"/>
        </w:rPr>
        <w:t>通机</w:t>
      </w:r>
      <w:proofErr w:type="gramEnd"/>
      <w:r>
        <w:rPr>
          <w:rFonts w:ascii="宋体" w:hAnsi="宋体" w:hint="eastAsia"/>
          <w:sz w:val="24"/>
        </w:rPr>
        <w:t>制下交易日不连贯可能带来的风险（在内地开市香港休市的情形下，港股</w:t>
      </w:r>
      <w:proofErr w:type="gramStart"/>
      <w:r>
        <w:rPr>
          <w:rFonts w:ascii="宋体" w:hAnsi="宋体" w:hint="eastAsia"/>
          <w:sz w:val="24"/>
        </w:rPr>
        <w:t>通不</w:t>
      </w:r>
      <w:proofErr w:type="gramEnd"/>
      <w:r>
        <w:rPr>
          <w:rFonts w:ascii="宋体" w:hAnsi="宋体" w:hint="eastAsia"/>
          <w:sz w:val="24"/>
        </w:rPr>
        <w:t>能正常交易，港股不能及时卖出，可能带来一定的流动性风险）等。具体风险烦请查阅本基金招募说明书的</w:t>
      </w:r>
      <w:r>
        <w:rPr>
          <w:rFonts w:ascii="宋体" w:hAnsi="宋体"/>
          <w:sz w:val="24"/>
        </w:rPr>
        <w:t>“</w:t>
      </w:r>
      <w:r>
        <w:rPr>
          <w:rFonts w:ascii="宋体" w:hAnsi="宋体" w:hint="eastAsia"/>
          <w:sz w:val="24"/>
        </w:rPr>
        <w:t>风险揭示</w:t>
      </w:r>
      <w:r>
        <w:rPr>
          <w:rFonts w:ascii="宋体" w:hAnsi="宋体"/>
          <w:sz w:val="24"/>
        </w:rPr>
        <w:t>”</w:t>
      </w:r>
      <w:r>
        <w:rPr>
          <w:rFonts w:ascii="宋体" w:hAnsi="宋体" w:hint="eastAsia"/>
          <w:sz w:val="24"/>
        </w:rPr>
        <w:t>章节的具体内容。基金可根据投资策略需要或不同配置地市场环境的变化，选择将部分基金资产投资于港股或选择不将基金资产投资于港股，基金资产并非必然投资港股。</w:t>
      </w:r>
    </w:p>
    <w:p w14:paraId="6AC667A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10、本基金的投资范围包括存托凭证。基金资产投资存托凭证，会</w:t>
      </w:r>
      <w:proofErr w:type="gramStart"/>
      <w:r>
        <w:rPr>
          <w:rFonts w:ascii="宋体" w:hAnsi="宋体" w:hint="eastAsia"/>
          <w:sz w:val="24"/>
        </w:rPr>
        <w:t>面临因存</w:t>
      </w:r>
      <w:r>
        <w:rPr>
          <w:rFonts w:ascii="宋体" w:hAnsi="宋体" w:hint="eastAsia"/>
          <w:sz w:val="24"/>
        </w:rPr>
        <w:lastRenderedPageBreak/>
        <w:t>托</w:t>
      </w:r>
      <w:proofErr w:type="gramEnd"/>
      <w:r>
        <w:rPr>
          <w:rFonts w:ascii="宋体" w:hAnsi="宋体" w:hint="eastAsia"/>
          <w:sz w:val="24"/>
        </w:rPr>
        <w:t>凭证而产生的特殊风险，包括但不限于存托凭证价格大幅波动的风险，</w:t>
      </w:r>
      <w:proofErr w:type="gramStart"/>
      <w:r>
        <w:rPr>
          <w:rFonts w:ascii="宋体" w:hAnsi="宋体" w:hint="eastAsia"/>
          <w:sz w:val="24"/>
        </w:rPr>
        <w:t>因存</w:t>
      </w:r>
      <w:proofErr w:type="gramEnd"/>
      <w:r>
        <w:rPr>
          <w:rFonts w:ascii="宋体" w:hAnsi="宋体" w:hint="eastAsia"/>
          <w:sz w:val="24"/>
        </w:rPr>
        <w:t>托凭证的境外基础证券价格影响导致基金净值波动的风险以及与存托凭证发行机制相关的风险等。</w:t>
      </w:r>
    </w:p>
    <w:p w14:paraId="588440B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1</w:t>
      </w:r>
      <w:r>
        <w:rPr>
          <w:rFonts w:ascii="宋体" w:hAnsi="宋体" w:hint="eastAsia"/>
          <w:sz w:val="24"/>
        </w:rPr>
        <w:t>、本基金可投资北交所股票。北交所上市企业为创新型中小企业，普遍具有初创性、技术新、研发投入大、前景不确定、业绩波动大、风险高等特征。基金投资北交所股票面临各种风险，包括但不限于流动性风险、</w:t>
      </w:r>
      <w:proofErr w:type="gramStart"/>
      <w:r>
        <w:rPr>
          <w:rFonts w:ascii="宋体" w:hAnsi="宋体" w:hint="eastAsia"/>
          <w:sz w:val="24"/>
        </w:rPr>
        <w:t>转板风险</w:t>
      </w:r>
      <w:proofErr w:type="gramEnd"/>
      <w:r>
        <w:rPr>
          <w:rFonts w:ascii="宋体" w:hAnsi="宋体" w:hint="eastAsia"/>
          <w:sz w:val="24"/>
        </w:rPr>
        <w:t>、中小企业经营风险、投资战略配售股票风险、股价波动风险、退市风险、投资集中度风险、监管规则变化的风险。</w:t>
      </w:r>
    </w:p>
    <w:p w14:paraId="64B4C49D" w14:textId="77777777" w:rsidR="008A6127" w:rsidRDefault="00437D9F">
      <w:pPr>
        <w:snapToGrid w:val="0"/>
        <w:spacing w:line="360" w:lineRule="auto"/>
        <w:ind w:firstLineChars="200" w:firstLine="480"/>
        <w:rPr>
          <w:rFonts w:ascii="宋体" w:hAnsi="宋体"/>
          <w:kern w:val="0"/>
          <w:sz w:val="24"/>
        </w:rPr>
      </w:pPr>
      <w:r>
        <w:rPr>
          <w:rFonts w:ascii="宋体" w:hAnsi="宋体" w:hint="eastAsia"/>
          <w:kern w:val="0"/>
          <w:sz w:val="24"/>
        </w:rPr>
        <w:t>具体风险烦请查阅本基金招募说明书的“风险揭示”章节的具体内容。</w:t>
      </w:r>
    </w:p>
    <w:p w14:paraId="05E7A417" w14:textId="100111E2" w:rsidR="008A6127" w:rsidRDefault="00437D9F">
      <w:pPr>
        <w:snapToGrid w:val="0"/>
        <w:spacing w:line="360" w:lineRule="auto"/>
        <w:ind w:firstLineChars="200" w:firstLine="480"/>
        <w:rPr>
          <w:rFonts w:ascii="宋体" w:hAnsi="宋体"/>
          <w:sz w:val="24"/>
        </w:rPr>
      </w:pPr>
      <w:r>
        <w:rPr>
          <w:rFonts w:ascii="宋体" w:hAnsi="宋体" w:hint="eastAsia"/>
          <w:kern w:val="0"/>
          <w:sz w:val="24"/>
        </w:rPr>
        <w:t>本基金本次招募说明书对基金管理人、基金托管人、相关服务机构、</w:t>
      </w:r>
      <w:r w:rsidR="00230339">
        <w:rPr>
          <w:rFonts w:ascii="宋体" w:hAnsi="宋体" w:hint="eastAsia"/>
          <w:kern w:val="0"/>
          <w:sz w:val="24"/>
        </w:rPr>
        <w:t>基金的投资、基金合同的内容摘要</w:t>
      </w:r>
      <w:r w:rsidR="00190B8C">
        <w:rPr>
          <w:rFonts w:ascii="宋体" w:hAnsi="宋体" w:hint="eastAsia"/>
          <w:kern w:val="0"/>
          <w:sz w:val="24"/>
        </w:rPr>
        <w:t>、</w:t>
      </w:r>
      <w:r>
        <w:rPr>
          <w:rFonts w:ascii="宋体" w:hAnsi="宋体" w:hint="eastAsia"/>
          <w:kern w:val="0"/>
          <w:sz w:val="24"/>
        </w:rPr>
        <w:t>其他应披露事项的相关信息进行更新，相关信息更新截止日为</w:t>
      </w:r>
      <w:r w:rsidR="00230339">
        <w:rPr>
          <w:rFonts w:ascii="宋体" w:hAnsi="宋体" w:hint="eastAsia"/>
          <w:kern w:val="0"/>
          <w:sz w:val="24"/>
        </w:rPr>
        <w:t>202</w:t>
      </w:r>
      <w:r w:rsidR="00230339">
        <w:rPr>
          <w:rFonts w:ascii="宋体" w:hAnsi="宋体"/>
          <w:kern w:val="0"/>
          <w:sz w:val="24"/>
        </w:rPr>
        <w:t>6</w:t>
      </w:r>
      <w:r w:rsidR="00230339">
        <w:rPr>
          <w:rFonts w:ascii="宋体" w:hAnsi="宋体" w:hint="eastAsia"/>
          <w:kern w:val="0"/>
          <w:sz w:val="24"/>
        </w:rPr>
        <w:t>年</w:t>
      </w:r>
      <w:r w:rsidR="00230339">
        <w:rPr>
          <w:rFonts w:ascii="宋体" w:hAnsi="宋体"/>
          <w:kern w:val="0"/>
          <w:sz w:val="24"/>
        </w:rPr>
        <w:t>9</w:t>
      </w:r>
      <w:r>
        <w:rPr>
          <w:rFonts w:ascii="宋体" w:hAnsi="宋体" w:hint="eastAsia"/>
          <w:kern w:val="0"/>
          <w:sz w:val="24"/>
        </w:rPr>
        <w:t>月</w:t>
      </w:r>
      <w:r w:rsidR="00230339">
        <w:rPr>
          <w:rFonts w:ascii="宋体" w:hAnsi="宋体"/>
          <w:kern w:val="0"/>
          <w:sz w:val="24"/>
        </w:rPr>
        <w:t>18</w:t>
      </w:r>
      <w:r>
        <w:rPr>
          <w:rFonts w:ascii="宋体" w:hAnsi="宋体" w:hint="eastAsia"/>
          <w:kern w:val="0"/>
          <w:sz w:val="24"/>
        </w:rPr>
        <w:t>日。</w:t>
      </w:r>
      <w:r>
        <w:rPr>
          <w:rFonts w:ascii="宋体" w:hAnsi="宋体" w:hint="eastAsia"/>
          <w:sz w:val="24"/>
        </w:rPr>
        <w:t>本基金本次招募说明书更新的有关财务数据和净值表现</w:t>
      </w:r>
      <w:r>
        <w:rPr>
          <w:rFonts w:ascii="宋体" w:hAnsi="宋体" w:hint="eastAsia"/>
          <w:sz w:val="24"/>
          <w:lang w:eastAsia="zh-Hans"/>
        </w:rPr>
        <w:t>数据</w:t>
      </w:r>
      <w:r w:rsidR="00BA7E19">
        <w:rPr>
          <w:rFonts w:ascii="宋体" w:hAnsi="宋体" w:hint="eastAsia"/>
          <w:sz w:val="24"/>
          <w:lang w:eastAsia="zh-Hans"/>
        </w:rPr>
        <w:t>、</w:t>
      </w:r>
      <w:r w:rsidR="00BA7E19" w:rsidRPr="001F6A88">
        <w:rPr>
          <w:rFonts w:ascii="宋体" w:hAnsi="宋体" w:hint="eastAsia"/>
          <w:sz w:val="24"/>
          <w:lang w:eastAsia="zh-Hans"/>
        </w:rPr>
        <w:t>基金投资组合报告内容</w:t>
      </w:r>
      <w:r>
        <w:rPr>
          <w:rFonts w:ascii="宋体" w:hAnsi="宋体" w:hint="eastAsia"/>
          <w:sz w:val="24"/>
        </w:rPr>
        <w:t>截止日为</w:t>
      </w:r>
      <w:r w:rsidR="00230339">
        <w:rPr>
          <w:rFonts w:ascii="宋体" w:hAnsi="宋体" w:hint="eastAsia"/>
          <w:sz w:val="24"/>
        </w:rPr>
        <w:t>202</w:t>
      </w:r>
      <w:r w:rsidR="00230339">
        <w:rPr>
          <w:rFonts w:ascii="宋体" w:hAnsi="宋体"/>
          <w:sz w:val="24"/>
        </w:rPr>
        <w:t>6</w:t>
      </w:r>
      <w:r w:rsidR="00230339">
        <w:rPr>
          <w:rFonts w:ascii="宋体" w:hAnsi="宋体" w:hint="eastAsia"/>
          <w:sz w:val="24"/>
        </w:rPr>
        <w:t>年</w:t>
      </w:r>
      <w:r w:rsidR="00230339">
        <w:rPr>
          <w:rFonts w:ascii="宋体" w:hAnsi="宋体"/>
          <w:sz w:val="24"/>
        </w:rPr>
        <w:t>6</w:t>
      </w:r>
      <w:r>
        <w:rPr>
          <w:rFonts w:ascii="宋体" w:hAnsi="宋体" w:hint="eastAsia"/>
          <w:sz w:val="24"/>
        </w:rPr>
        <w:t>月</w:t>
      </w:r>
      <w:r w:rsidR="00230339">
        <w:rPr>
          <w:rFonts w:ascii="宋体" w:hAnsi="宋体"/>
          <w:sz w:val="24"/>
        </w:rPr>
        <w:t>30</w:t>
      </w:r>
      <w:r>
        <w:rPr>
          <w:rFonts w:ascii="宋体" w:hAnsi="宋体" w:hint="eastAsia"/>
          <w:sz w:val="24"/>
        </w:rPr>
        <w:t>日(</w:t>
      </w:r>
      <w:r>
        <w:rPr>
          <w:rFonts w:ascii="宋体" w:hAnsi="宋体" w:hint="eastAsia"/>
          <w:kern w:val="0"/>
          <w:sz w:val="24"/>
        </w:rPr>
        <w:t>本招募说明书中的</w:t>
      </w:r>
      <w:r>
        <w:rPr>
          <w:rFonts w:ascii="宋体" w:hAnsi="宋体" w:hint="eastAsia"/>
          <w:sz w:val="24"/>
        </w:rPr>
        <w:t>财务数据未经审计)。本招募说明书已经本基金托管人复核。</w:t>
      </w:r>
    </w:p>
    <w:p w14:paraId="6CD5C17A" w14:textId="77777777" w:rsidR="008A6127" w:rsidRDefault="008A6127">
      <w:pPr>
        <w:spacing w:line="360" w:lineRule="auto"/>
        <w:jc w:val="left"/>
        <w:rPr>
          <w:rFonts w:hAnsi="宋体"/>
          <w:kern w:val="0"/>
          <w:szCs w:val="21"/>
        </w:rPr>
      </w:pPr>
    </w:p>
    <w:p w14:paraId="334CC349" w14:textId="77777777" w:rsidR="008A6127" w:rsidRPr="00BA7E19" w:rsidRDefault="008A6127">
      <w:pPr>
        <w:spacing w:line="360" w:lineRule="auto"/>
        <w:jc w:val="left"/>
        <w:rPr>
          <w:rFonts w:hAnsi="宋体"/>
          <w:kern w:val="0"/>
          <w:szCs w:val="21"/>
        </w:rPr>
        <w:sectPr w:rsidR="008A6127" w:rsidRPr="00BA7E19">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1"/>
          <w:cols w:space="720"/>
          <w:docGrid w:type="lines" w:linePitch="312"/>
        </w:sectPr>
      </w:pPr>
    </w:p>
    <w:p w14:paraId="22EC91ED" w14:textId="77777777" w:rsidR="008A6127" w:rsidRDefault="008A6127">
      <w:pPr>
        <w:jc w:val="center"/>
        <w:rPr>
          <w:rFonts w:ascii="Cambria" w:hAnsi="Cambria"/>
          <w:b/>
          <w:sz w:val="24"/>
          <w:lang w:val="zh-CN"/>
        </w:rPr>
      </w:pPr>
      <w:bookmarkStart w:id="12" w:name="_Toc21884"/>
      <w:bookmarkStart w:id="13" w:name="_Toc19035"/>
      <w:bookmarkStart w:id="14" w:name="_Toc23784"/>
      <w:bookmarkStart w:id="15" w:name="_Toc13603"/>
      <w:bookmarkStart w:id="16" w:name="_Toc9417"/>
      <w:bookmarkStart w:id="17" w:name="_Toc9183"/>
      <w:bookmarkStart w:id="18" w:name="_Toc18283"/>
    </w:p>
    <w:p w14:paraId="68A6F2BC" w14:textId="77777777" w:rsidR="008A6127" w:rsidRDefault="00437D9F">
      <w:pPr>
        <w:tabs>
          <w:tab w:val="center" w:pos="4153"/>
          <w:tab w:val="left" w:pos="5935"/>
        </w:tabs>
        <w:spacing w:line="360" w:lineRule="auto"/>
        <w:jc w:val="left"/>
        <w:rPr>
          <w:rFonts w:ascii="宋体" w:hAnsi="宋体"/>
          <w:sz w:val="24"/>
        </w:rPr>
      </w:pPr>
      <w:r>
        <w:rPr>
          <w:rFonts w:ascii="Cambria" w:hAnsi="Cambria"/>
          <w:b/>
          <w:sz w:val="24"/>
          <w:lang w:val="zh-CN"/>
        </w:rPr>
        <w:tab/>
      </w:r>
      <w:r>
        <w:rPr>
          <w:rFonts w:ascii="宋体" w:hAnsi="宋体" w:hint="eastAsia"/>
          <w:b/>
          <w:sz w:val="24"/>
          <w:lang w:val="zh-CN"/>
        </w:rPr>
        <w:t>目录</w:t>
      </w:r>
      <w:bookmarkEnd w:id="12"/>
      <w:bookmarkEnd w:id="13"/>
      <w:bookmarkEnd w:id="14"/>
      <w:bookmarkEnd w:id="15"/>
      <w:bookmarkEnd w:id="16"/>
      <w:bookmarkEnd w:id="17"/>
      <w:bookmarkEnd w:id="18"/>
    </w:p>
    <w:p w14:paraId="0A47B8A1" w14:textId="77777777" w:rsidR="008A6127" w:rsidRDefault="008A6127">
      <w:pPr>
        <w:snapToGrid w:val="0"/>
        <w:spacing w:line="360" w:lineRule="auto"/>
        <w:jc w:val="center"/>
        <w:rPr>
          <w:rFonts w:ascii="Cambria" w:hAnsi="Cambria"/>
          <w:sz w:val="24"/>
        </w:rPr>
      </w:pPr>
    </w:p>
    <w:p w14:paraId="2C39C646" w14:textId="162EBED2" w:rsidR="00B67392" w:rsidRDefault="00437D9F">
      <w:pPr>
        <w:pStyle w:val="TOC1"/>
        <w:tabs>
          <w:tab w:val="left" w:pos="1260"/>
          <w:tab w:val="right" w:leader="middleDot" w:pos="8296"/>
        </w:tabs>
        <w:rPr>
          <w:rFonts w:asciiTheme="minorHAnsi" w:eastAsiaTheme="minorEastAsia" w:hAnsiTheme="minorHAnsi" w:cstheme="minorBidi"/>
          <w:b w:val="0"/>
          <w:bCs w:val="0"/>
          <w:caps w:val="0"/>
          <w:noProof/>
          <w:sz w:val="21"/>
          <w:szCs w:val="22"/>
        </w:rPr>
      </w:pPr>
      <w:r>
        <w:rPr>
          <w:b w:val="0"/>
          <w:bCs w:val="0"/>
          <w:caps w:val="0"/>
          <w:sz w:val="21"/>
          <w:szCs w:val="21"/>
        </w:rPr>
        <w:fldChar w:fldCharType="begin"/>
      </w:r>
      <w:r>
        <w:rPr>
          <w:b w:val="0"/>
          <w:bCs w:val="0"/>
          <w:caps w:val="0"/>
          <w:sz w:val="21"/>
          <w:szCs w:val="21"/>
        </w:rPr>
        <w:instrText xml:space="preserve"> TOC \o "1-1" \h \z \u </w:instrText>
      </w:r>
      <w:r>
        <w:rPr>
          <w:b w:val="0"/>
          <w:bCs w:val="0"/>
          <w:caps w:val="0"/>
          <w:sz w:val="21"/>
          <w:szCs w:val="21"/>
        </w:rPr>
        <w:fldChar w:fldCharType="separate"/>
      </w:r>
      <w:hyperlink w:anchor="_Toc204678780" w:history="1">
        <w:r w:rsidR="00B67392" w:rsidRPr="00BA5D7B">
          <w:rPr>
            <w:rStyle w:val="afff2"/>
            <w:noProof/>
          </w:rPr>
          <w:t>第一部分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绪言</w:t>
        </w:r>
        <w:r w:rsidR="00B67392">
          <w:rPr>
            <w:noProof/>
            <w:webHidden/>
          </w:rPr>
          <w:tab/>
        </w:r>
        <w:r w:rsidR="00B67392">
          <w:rPr>
            <w:noProof/>
            <w:webHidden/>
          </w:rPr>
          <w:fldChar w:fldCharType="begin"/>
        </w:r>
        <w:r w:rsidR="00B67392">
          <w:rPr>
            <w:noProof/>
            <w:webHidden/>
          </w:rPr>
          <w:instrText xml:space="preserve"> PAGEREF _Toc204678780 \h </w:instrText>
        </w:r>
        <w:r w:rsidR="00B67392">
          <w:rPr>
            <w:noProof/>
            <w:webHidden/>
          </w:rPr>
        </w:r>
        <w:r w:rsidR="00B67392">
          <w:rPr>
            <w:noProof/>
            <w:webHidden/>
          </w:rPr>
          <w:fldChar w:fldCharType="separate"/>
        </w:r>
        <w:r w:rsidR="00A4243C">
          <w:rPr>
            <w:noProof/>
            <w:webHidden/>
          </w:rPr>
          <w:t>6</w:t>
        </w:r>
        <w:r w:rsidR="00B67392">
          <w:rPr>
            <w:noProof/>
            <w:webHidden/>
          </w:rPr>
          <w:fldChar w:fldCharType="end"/>
        </w:r>
      </w:hyperlink>
    </w:p>
    <w:p w14:paraId="3F783F46" w14:textId="036FF7D2" w:rsidR="00B67392" w:rsidRDefault="00C74FB5">
      <w:pPr>
        <w:pStyle w:val="TOC1"/>
        <w:tabs>
          <w:tab w:val="left" w:pos="1260"/>
          <w:tab w:val="right" w:leader="middleDot" w:pos="8296"/>
        </w:tabs>
        <w:rPr>
          <w:rFonts w:asciiTheme="minorHAnsi" w:eastAsiaTheme="minorEastAsia" w:hAnsiTheme="minorHAnsi" w:cstheme="minorBidi"/>
          <w:b w:val="0"/>
          <w:bCs w:val="0"/>
          <w:caps w:val="0"/>
          <w:noProof/>
          <w:sz w:val="21"/>
          <w:szCs w:val="22"/>
        </w:rPr>
      </w:pPr>
      <w:hyperlink w:anchor="_Toc204678781" w:history="1">
        <w:r w:rsidR="00B67392" w:rsidRPr="00BA5D7B">
          <w:rPr>
            <w:rStyle w:val="afff2"/>
            <w:noProof/>
          </w:rPr>
          <w:t>第二部分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释义</w:t>
        </w:r>
        <w:r w:rsidR="00B67392">
          <w:rPr>
            <w:noProof/>
            <w:webHidden/>
          </w:rPr>
          <w:tab/>
        </w:r>
        <w:r w:rsidR="00B67392">
          <w:rPr>
            <w:noProof/>
            <w:webHidden/>
          </w:rPr>
          <w:fldChar w:fldCharType="begin"/>
        </w:r>
        <w:r w:rsidR="00B67392">
          <w:rPr>
            <w:noProof/>
            <w:webHidden/>
          </w:rPr>
          <w:instrText xml:space="preserve"> PAGEREF _Toc204678781 \h </w:instrText>
        </w:r>
        <w:r w:rsidR="00B67392">
          <w:rPr>
            <w:noProof/>
            <w:webHidden/>
          </w:rPr>
        </w:r>
        <w:r w:rsidR="00B67392">
          <w:rPr>
            <w:noProof/>
            <w:webHidden/>
          </w:rPr>
          <w:fldChar w:fldCharType="separate"/>
        </w:r>
        <w:r w:rsidR="00A4243C">
          <w:rPr>
            <w:noProof/>
            <w:webHidden/>
          </w:rPr>
          <w:t>7</w:t>
        </w:r>
        <w:r w:rsidR="00B67392">
          <w:rPr>
            <w:noProof/>
            <w:webHidden/>
          </w:rPr>
          <w:fldChar w:fldCharType="end"/>
        </w:r>
      </w:hyperlink>
    </w:p>
    <w:p w14:paraId="03204417" w14:textId="0FE6C019" w:rsidR="00B67392" w:rsidRDefault="00C74FB5">
      <w:pPr>
        <w:pStyle w:val="TOC1"/>
        <w:tabs>
          <w:tab w:val="left" w:pos="1260"/>
          <w:tab w:val="right" w:leader="middleDot" w:pos="8296"/>
        </w:tabs>
        <w:rPr>
          <w:rFonts w:asciiTheme="minorHAnsi" w:eastAsiaTheme="minorEastAsia" w:hAnsiTheme="minorHAnsi" w:cstheme="minorBidi"/>
          <w:b w:val="0"/>
          <w:bCs w:val="0"/>
          <w:caps w:val="0"/>
          <w:noProof/>
          <w:sz w:val="21"/>
          <w:szCs w:val="22"/>
        </w:rPr>
      </w:pPr>
      <w:hyperlink w:anchor="_Toc204678782" w:history="1">
        <w:r w:rsidR="00B67392" w:rsidRPr="00BA5D7B">
          <w:rPr>
            <w:rStyle w:val="afff2"/>
            <w:noProof/>
          </w:rPr>
          <w:t>第三部分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基金管理人</w:t>
        </w:r>
        <w:r w:rsidR="00B67392">
          <w:rPr>
            <w:noProof/>
            <w:webHidden/>
          </w:rPr>
          <w:tab/>
        </w:r>
        <w:r w:rsidR="00B67392">
          <w:rPr>
            <w:noProof/>
            <w:webHidden/>
          </w:rPr>
          <w:fldChar w:fldCharType="begin"/>
        </w:r>
        <w:r w:rsidR="00B67392">
          <w:rPr>
            <w:noProof/>
            <w:webHidden/>
          </w:rPr>
          <w:instrText xml:space="preserve"> PAGEREF _Toc204678782 \h </w:instrText>
        </w:r>
        <w:r w:rsidR="00B67392">
          <w:rPr>
            <w:noProof/>
            <w:webHidden/>
          </w:rPr>
        </w:r>
        <w:r w:rsidR="00B67392">
          <w:rPr>
            <w:noProof/>
            <w:webHidden/>
          </w:rPr>
          <w:fldChar w:fldCharType="separate"/>
        </w:r>
        <w:r w:rsidR="00A4243C">
          <w:rPr>
            <w:noProof/>
            <w:webHidden/>
          </w:rPr>
          <w:t>12</w:t>
        </w:r>
        <w:r w:rsidR="00B67392">
          <w:rPr>
            <w:noProof/>
            <w:webHidden/>
          </w:rPr>
          <w:fldChar w:fldCharType="end"/>
        </w:r>
      </w:hyperlink>
    </w:p>
    <w:p w14:paraId="07E0C9CD" w14:textId="2C24C0B3" w:rsidR="00B67392" w:rsidRDefault="00C74FB5">
      <w:pPr>
        <w:pStyle w:val="TOC1"/>
        <w:tabs>
          <w:tab w:val="left" w:pos="1260"/>
          <w:tab w:val="right" w:leader="middleDot" w:pos="8296"/>
        </w:tabs>
        <w:rPr>
          <w:rFonts w:asciiTheme="minorHAnsi" w:eastAsiaTheme="minorEastAsia" w:hAnsiTheme="minorHAnsi" w:cstheme="minorBidi"/>
          <w:b w:val="0"/>
          <w:bCs w:val="0"/>
          <w:caps w:val="0"/>
          <w:noProof/>
          <w:sz w:val="21"/>
          <w:szCs w:val="22"/>
        </w:rPr>
      </w:pPr>
      <w:hyperlink w:anchor="_Toc204678783" w:history="1">
        <w:r w:rsidR="00B67392" w:rsidRPr="00BA5D7B">
          <w:rPr>
            <w:rStyle w:val="afff2"/>
            <w:noProof/>
          </w:rPr>
          <w:t>第四部分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基金托</w:t>
        </w:r>
        <w:bookmarkStart w:id="19" w:name="_GoBack"/>
        <w:bookmarkEnd w:id="19"/>
        <w:r w:rsidR="00B67392" w:rsidRPr="00BA5D7B">
          <w:rPr>
            <w:rStyle w:val="afff2"/>
            <w:noProof/>
          </w:rPr>
          <w:t>管人</w:t>
        </w:r>
        <w:r w:rsidR="00B67392">
          <w:rPr>
            <w:noProof/>
            <w:webHidden/>
          </w:rPr>
          <w:tab/>
        </w:r>
        <w:r w:rsidR="00B67392">
          <w:rPr>
            <w:noProof/>
            <w:webHidden/>
          </w:rPr>
          <w:fldChar w:fldCharType="begin"/>
        </w:r>
        <w:r w:rsidR="00B67392">
          <w:rPr>
            <w:noProof/>
            <w:webHidden/>
          </w:rPr>
          <w:instrText xml:space="preserve"> PAGEREF _Toc204678783 \h </w:instrText>
        </w:r>
        <w:r w:rsidR="00B67392">
          <w:rPr>
            <w:noProof/>
            <w:webHidden/>
          </w:rPr>
        </w:r>
        <w:r w:rsidR="00B67392">
          <w:rPr>
            <w:noProof/>
            <w:webHidden/>
          </w:rPr>
          <w:fldChar w:fldCharType="separate"/>
        </w:r>
        <w:r w:rsidR="00A4243C">
          <w:rPr>
            <w:noProof/>
            <w:webHidden/>
          </w:rPr>
          <w:t>20</w:t>
        </w:r>
        <w:r w:rsidR="00B67392">
          <w:rPr>
            <w:noProof/>
            <w:webHidden/>
          </w:rPr>
          <w:fldChar w:fldCharType="end"/>
        </w:r>
      </w:hyperlink>
    </w:p>
    <w:p w14:paraId="55AA6DBA" w14:textId="0B7278DD" w:rsidR="00B67392" w:rsidRDefault="00C74FB5">
      <w:pPr>
        <w:pStyle w:val="TOC1"/>
        <w:tabs>
          <w:tab w:val="left" w:pos="1260"/>
          <w:tab w:val="right" w:leader="middleDot" w:pos="8296"/>
        </w:tabs>
        <w:rPr>
          <w:rFonts w:asciiTheme="minorHAnsi" w:eastAsiaTheme="minorEastAsia" w:hAnsiTheme="minorHAnsi" w:cstheme="minorBidi"/>
          <w:b w:val="0"/>
          <w:bCs w:val="0"/>
          <w:caps w:val="0"/>
          <w:noProof/>
          <w:sz w:val="21"/>
          <w:szCs w:val="22"/>
        </w:rPr>
      </w:pPr>
      <w:hyperlink w:anchor="_Toc204678784" w:history="1">
        <w:r w:rsidR="00B67392" w:rsidRPr="00BA5D7B">
          <w:rPr>
            <w:rStyle w:val="afff2"/>
            <w:noProof/>
          </w:rPr>
          <w:t>第五部分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相关服务机构</w:t>
        </w:r>
        <w:r w:rsidR="00B67392">
          <w:rPr>
            <w:noProof/>
            <w:webHidden/>
          </w:rPr>
          <w:tab/>
        </w:r>
        <w:r w:rsidR="00B67392">
          <w:rPr>
            <w:noProof/>
            <w:webHidden/>
          </w:rPr>
          <w:fldChar w:fldCharType="begin"/>
        </w:r>
        <w:r w:rsidR="00B67392">
          <w:rPr>
            <w:noProof/>
            <w:webHidden/>
          </w:rPr>
          <w:instrText xml:space="preserve"> PAGEREF _Toc204678784 \h </w:instrText>
        </w:r>
        <w:r w:rsidR="00B67392">
          <w:rPr>
            <w:noProof/>
            <w:webHidden/>
          </w:rPr>
        </w:r>
        <w:r w:rsidR="00B67392">
          <w:rPr>
            <w:noProof/>
            <w:webHidden/>
          </w:rPr>
          <w:fldChar w:fldCharType="separate"/>
        </w:r>
        <w:r w:rsidR="00A4243C">
          <w:rPr>
            <w:noProof/>
            <w:webHidden/>
          </w:rPr>
          <w:t>27</w:t>
        </w:r>
        <w:r w:rsidR="00B67392">
          <w:rPr>
            <w:noProof/>
            <w:webHidden/>
          </w:rPr>
          <w:fldChar w:fldCharType="end"/>
        </w:r>
      </w:hyperlink>
    </w:p>
    <w:p w14:paraId="06406882" w14:textId="049DBB5F" w:rsidR="00B67392" w:rsidRDefault="00C74FB5">
      <w:pPr>
        <w:pStyle w:val="TOC1"/>
        <w:tabs>
          <w:tab w:val="left" w:pos="1260"/>
          <w:tab w:val="right" w:leader="middleDot" w:pos="8296"/>
        </w:tabs>
        <w:rPr>
          <w:rFonts w:asciiTheme="minorHAnsi" w:eastAsiaTheme="minorEastAsia" w:hAnsiTheme="minorHAnsi" w:cstheme="minorBidi"/>
          <w:b w:val="0"/>
          <w:bCs w:val="0"/>
          <w:caps w:val="0"/>
          <w:noProof/>
          <w:sz w:val="21"/>
          <w:szCs w:val="22"/>
        </w:rPr>
      </w:pPr>
      <w:hyperlink w:anchor="_Toc204678785" w:history="1">
        <w:r w:rsidR="00B67392" w:rsidRPr="00BA5D7B">
          <w:rPr>
            <w:rStyle w:val="afff2"/>
            <w:noProof/>
          </w:rPr>
          <w:t>第六部分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基金的募集</w:t>
        </w:r>
        <w:r w:rsidR="00B67392">
          <w:rPr>
            <w:noProof/>
            <w:webHidden/>
          </w:rPr>
          <w:tab/>
        </w:r>
        <w:r w:rsidR="00B67392">
          <w:rPr>
            <w:noProof/>
            <w:webHidden/>
          </w:rPr>
          <w:fldChar w:fldCharType="begin"/>
        </w:r>
        <w:r w:rsidR="00B67392">
          <w:rPr>
            <w:noProof/>
            <w:webHidden/>
          </w:rPr>
          <w:instrText xml:space="preserve"> PAGEREF _Toc204678785 \h </w:instrText>
        </w:r>
        <w:r w:rsidR="00B67392">
          <w:rPr>
            <w:noProof/>
            <w:webHidden/>
          </w:rPr>
        </w:r>
        <w:r w:rsidR="00B67392">
          <w:rPr>
            <w:noProof/>
            <w:webHidden/>
          </w:rPr>
          <w:fldChar w:fldCharType="separate"/>
        </w:r>
        <w:r w:rsidR="00A4243C">
          <w:rPr>
            <w:noProof/>
            <w:webHidden/>
          </w:rPr>
          <w:t>35</w:t>
        </w:r>
        <w:r w:rsidR="00B67392">
          <w:rPr>
            <w:noProof/>
            <w:webHidden/>
          </w:rPr>
          <w:fldChar w:fldCharType="end"/>
        </w:r>
      </w:hyperlink>
    </w:p>
    <w:p w14:paraId="6FF5F5A7" w14:textId="75A7F86E" w:rsidR="00B67392" w:rsidRDefault="00C74FB5">
      <w:pPr>
        <w:pStyle w:val="TOC1"/>
        <w:tabs>
          <w:tab w:val="left" w:pos="1260"/>
          <w:tab w:val="right" w:leader="middleDot" w:pos="8296"/>
        </w:tabs>
        <w:rPr>
          <w:rFonts w:asciiTheme="minorHAnsi" w:eastAsiaTheme="minorEastAsia" w:hAnsiTheme="minorHAnsi" w:cstheme="minorBidi"/>
          <w:b w:val="0"/>
          <w:bCs w:val="0"/>
          <w:caps w:val="0"/>
          <w:noProof/>
          <w:sz w:val="21"/>
          <w:szCs w:val="22"/>
        </w:rPr>
      </w:pPr>
      <w:hyperlink w:anchor="_Toc204678786" w:history="1">
        <w:r w:rsidR="00B67392" w:rsidRPr="00BA5D7B">
          <w:rPr>
            <w:rStyle w:val="afff2"/>
            <w:noProof/>
          </w:rPr>
          <w:t>第七部分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基金合同的生效</w:t>
        </w:r>
        <w:r w:rsidR="00B67392">
          <w:rPr>
            <w:noProof/>
            <w:webHidden/>
          </w:rPr>
          <w:tab/>
        </w:r>
        <w:r w:rsidR="00B67392">
          <w:rPr>
            <w:noProof/>
            <w:webHidden/>
          </w:rPr>
          <w:fldChar w:fldCharType="begin"/>
        </w:r>
        <w:r w:rsidR="00B67392">
          <w:rPr>
            <w:noProof/>
            <w:webHidden/>
          </w:rPr>
          <w:instrText xml:space="preserve"> PAGEREF _Toc204678786 \h </w:instrText>
        </w:r>
        <w:r w:rsidR="00B67392">
          <w:rPr>
            <w:noProof/>
            <w:webHidden/>
          </w:rPr>
        </w:r>
        <w:r w:rsidR="00B67392">
          <w:rPr>
            <w:noProof/>
            <w:webHidden/>
          </w:rPr>
          <w:fldChar w:fldCharType="separate"/>
        </w:r>
        <w:r w:rsidR="00A4243C">
          <w:rPr>
            <w:noProof/>
            <w:webHidden/>
          </w:rPr>
          <w:t>36</w:t>
        </w:r>
        <w:r w:rsidR="00B67392">
          <w:rPr>
            <w:noProof/>
            <w:webHidden/>
          </w:rPr>
          <w:fldChar w:fldCharType="end"/>
        </w:r>
      </w:hyperlink>
    </w:p>
    <w:p w14:paraId="49DDEADF" w14:textId="7B8DBC11" w:rsidR="00B67392" w:rsidRDefault="00C74FB5">
      <w:pPr>
        <w:pStyle w:val="TOC1"/>
        <w:tabs>
          <w:tab w:val="left" w:pos="1260"/>
          <w:tab w:val="right" w:leader="middleDot" w:pos="8296"/>
        </w:tabs>
        <w:rPr>
          <w:rFonts w:asciiTheme="minorHAnsi" w:eastAsiaTheme="minorEastAsia" w:hAnsiTheme="minorHAnsi" w:cstheme="minorBidi"/>
          <w:b w:val="0"/>
          <w:bCs w:val="0"/>
          <w:caps w:val="0"/>
          <w:noProof/>
          <w:sz w:val="21"/>
          <w:szCs w:val="22"/>
        </w:rPr>
      </w:pPr>
      <w:hyperlink w:anchor="_Toc204678787" w:history="1">
        <w:r w:rsidR="00B67392" w:rsidRPr="00BA5D7B">
          <w:rPr>
            <w:rStyle w:val="afff2"/>
            <w:noProof/>
          </w:rPr>
          <w:t>第八部分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基金份额的申购、赎回与转换</w:t>
        </w:r>
        <w:r w:rsidR="00B67392">
          <w:rPr>
            <w:noProof/>
            <w:webHidden/>
          </w:rPr>
          <w:tab/>
        </w:r>
        <w:r w:rsidR="00B67392">
          <w:rPr>
            <w:noProof/>
            <w:webHidden/>
          </w:rPr>
          <w:fldChar w:fldCharType="begin"/>
        </w:r>
        <w:r w:rsidR="00B67392">
          <w:rPr>
            <w:noProof/>
            <w:webHidden/>
          </w:rPr>
          <w:instrText xml:space="preserve"> PAGEREF _Toc204678787 \h </w:instrText>
        </w:r>
        <w:r w:rsidR="00B67392">
          <w:rPr>
            <w:noProof/>
            <w:webHidden/>
          </w:rPr>
        </w:r>
        <w:r w:rsidR="00B67392">
          <w:rPr>
            <w:noProof/>
            <w:webHidden/>
          </w:rPr>
          <w:fldChar w:fldCharType="separate"/>
        </w:r>
        <w:r w:rsidR="00A4243C">
          <w:rPr>
            <w:noProof/>
            <w:webHidden/>
          </w:rPr>
          <w:t>37</w:t>
        </w:r>
        <w:r w:rsidR="00B67392">
          <w:rPr>
            <w:noProof/>
            <w:webHidden/>
          </w:rPr>
          <w:fldChar w:fldCharType="end"/>
        </w:r>
      </w:hyperlink>
    </w:p>
    <w:p w14:paraId="618859BB" w14:textId="3E0C5B4F" w:rsidR="00B67392" w:rsidRDefault="00C74FB5">
      <w:pPr>
        <w:pStyle w:val="TOC1"/>
        <w:tabs>
          <w:tab w:val="left" w:pos="1260"/>
          <w:tab w:val="right" w:leader="middleDot" w:pos="8296"/>
        </w:tabs>
        <w:rPr>
          <w:rFonts w:asciiTheme="minorHAnsi" w:eastAsiaTheme="minorEastAsia" w:hAnsiTheme="minorHAnsi" w:cstheme="minorBidi"/>
          <w:b w:val="0"/>
          <w:bCs w:val="0"/>
          <w:caps w:val="0"/>
          <w:noProof/>
          <w:sz w:val="21"/>
          <w:szCs w:val="22"/>
        </w:rPr>
      </w:pPr>
      <w:hyperlink w:anchor="_Toc204678788" w:history="1">
        <w:r w:rsidR="00B67392" w:rsidRPr="00BA5D7B">
          <w:rPr>
            <w:rStyle w:val="afff2"/>
            <w:noProof/>
          </w:rPr>
          <w:t>第九部分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基金的投资</w:t>
        </w:r>
        <w:r w:rsidR="00B67392">
          <w:rPr>
            <w:noProof/>
            <w:webHidden/>
          </w:rPr>
          <w:tab/>
        </w:r>
        <w:r w:rsidR="00B67392">
          <w:rPr>
            <w:noProof/>
            <w:webHidden/>
          </w:rPr>
          <w:fldChar w:fldCharType="begin"/>
        </w:r>
        <w:r w:rsidR="00B67392">
          <w:rPr>
            <w:noProof/>
            <w:webHidden/>
          </w:rPr>
          <w:instrText xml:space="preserve"> PAGEREF _Toc204678788 \h </w:instrText>
        </w:r>
        <w:r w:rsidR="00B67392">
          <w:rPr>
            <w:noProof/>
            <w:webHidden/>
          </w:rPr>
        </w:r>
        <w:r w:rsidR="00B67392">
          <w:rPr>
            <w:noProof/>
            <w:webHidden/>
          </w:rPr>
          <w:fldChar w:fldCharType="separate"/>
        </w:r>
        <w:r w:rsidR="00A4243C">
          <w:rPr>
            <w:noProof/>
            <w:webHidden/>
          </w:rPr>
          <w:t>50</w:t>
        </w:r>
        <w:r w:rsidR="00B67392">
          <w:rPr>
            <w:noProof/>
            <w:webHidden/>
          </w:rPr>
          <w:fldChar w:fldCharType="end"/>
        </w:r>
      </w:hyperlink>
    </w:p>
    <w:p w14:paraId="46E74A47" w14:textId="7AA3E05E" w:rsidR="00B67392" w:rsidRDefault="00C74FB5">
      <w:pPr>
        <w:pStyle w:val="TOC1"/>
        <w:tabs>
          <w:tab w:val="left" w:pos="1260"/>
          <w:tab w:val="right" w:leader="middleDot" w:pos="8296"/>
        </w:tabs>
        <w:rPr>
          <w:rFonts w:asciiTheme="minorHAnsi" w:eastAsiaTheme="minorEastAsia" w:hAnsiTheme="minorHAnsi" w:cstheme="minorBidi"/>
          <w:b w:val="0"/>
          <w:bCs w:val="0"/>
          <w:caps w:val="0"/>
          <w:noProof/>
          <w:sz w:val="21"/>
          <w:szCs w:val="22"/>
        </w:rPr>
      </w:pPr>
      <w:hyperlink w:anchor="_Toc204678789" w:history="1">
        <w:r w:rsidR="00B67392" w:rsidRPr="00BA5D7B">
          <w:rPr>
            <w:rStyle w:val="afff2"/>
            <w:noProof/>
          </w:rPr>
          <w:t>第十部分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基金的业绩</w:t>
        </w:r>
        <w:r w:rsidR="00B67392">
          <w:rPr>
            <w:noProof/>
            <w:webHidden/>
          </w:rPr>
          <w:tab/>
        </w:r>
        <w:r w:rsidR="00B67392">
          <w:rPr>
            <w:noProof/>
            <w:webHidden/>
          </w:rPr>
          <w:fldChar w:fldCharType="begin"/>
        </w:r>
        <w:r w:rsidR="00B67392">
          <w:rPr>
            <w:noProof/>
            <w:webHidden/>
          </w:rPr>
          <w:instrText xml:space="preserve"> PAGEREF _Toc204678789 \h </w:instrText>
        </w:r>
        <w:r w:rsidR="00B67392">
          <w:rPr>
            <w:noProof/>
            <w:webHidden/>
          </w:rPr>
        </w:r>
        <w:r w:rsidR="00B67392">
          <w:rPr>
            <w:noProof/>
            <w:webHidden/>
          </w:rPr>
          <w:fldChar w:fldCharType="separate"/>
        </w:r>
        <w:r w:rsidR="00A4243C">
          <w:rPr>
            <w:noProof/>
            <w:webHidden/>
          </w:rPr>
          <w:t>64</w:t>
        </w:r>
        <w:r w:rsidR="00B67392">
          <w:rPr>
            <w:noProof/>
            <w:webHidden/>
          </w:rPr>
          <w:fldChar w:fldCharType="end"/>
        </w:r>
      </w:hyperlink>
    </w:p>
    <w:p w14:paraId="32195C7C" w14:textId="504A8BF6"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0" w:history="1">
        <w:r w:rsidR="00B67392" w:rsidRPr="00BA5D7B">
          <w:rPr>
            <w:rStyle w:val="afff2"/>
            <w:noProof/>
          </w:rPr>
          <w:t>第十一部分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基金的财产</w:t>
        </w:r>
        <w:r w:rsidR="00B67392">
          <w:rPr>
            <w:noProof/>
            <w:webHidden/>
          </w:rPr>
          <w:tab/>
        </w:r>
        <w:r w:rsidR="00B67392">
          <w:rPr>
            <w:noProof/>
            <w:webHidden/>
          </w:rPr>
          <w:fldChar w:fldCharType="begin"/>
        </w:r>
        <w:r w:rsidR="00B67392">
          <w:rPr>
            <w:noProof/>
            <w:webHidden/>
          </w:rPr>
          <w:instrText xml:space="preserve"> PAGEREF _Toc204678790 \h </w:instrText>
        </w:r>
        <w:r w:rsidR="00B67392">
          <w:rPr>
            <w:noProof/>
            <w:webHidden/>
          </w:rPr>
        </w:r>
        <w:r w:rsidR="00B67392">
          <w:rPr>
            <w:noProof/>
            <w:webHidden/>
          </w:rPr>
          <w:fldChar w:fldCharType="separate"/>
        </w:r>
        <w:r w:rsidR="00A4243C">
          <w:rPr>
            <w:noProof/>
            <w:webHidden/>
          </w:rPr>
          <w:t>67</w:t>
        </w:r>
        <w:r w:rsidR="00B67392">
          <w:rPr>
            <w:noProof/>
            <w:webHidden/>
          </w:rPr>
          <w:fldChar w:fldCharType="end"/>
        </w:r>
      </w:hyperlink>
    </w:p>
    <w:p w14:paraId="11FDE0F5" w14:textId="06D54358"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1" w:history="1">
        <w:r w:rsidR="00B67392" w:rsidRPr="00BA5D7B">
          <w:rPr>
            <w:rStyle w:val="afff2"/>
            <w:noProof/>
          </w:rPr>
          <w:t>第十二部分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基金资产的估值</w:t>
        </w:r>
        <w:r w:rsidR="00B67392">
          <w:rPr>
            <w:noProof/>
            <w:webHidden/>
          </w:rPr>
          <w:tab/>
        </w:r>
        <w:r w:rsidR="00B67392">
          <w:rPr>
            <w:noProof/>
            <w:webHidden/>
          </w:rPr>
          <w:fldChar w:fldCharType="begin"/>
        </w:r>
        <w:r w:rsidR="00B67392">
          <w:rPr>
            <w:noProof/>
            <w:webHidden/>
          </w:rPr>
          <w:instrText xml:space="preserve"> PAGEREF _Toc204678791 \h </w:instrText>
        </w:r>
        <w:r w:rsidR="00B67392">
          <w:rPr>
            <w:noProof/>
            <w:webHidden/>
          </w:rPr>
        </w:r>
        <w:r w:rsidR="00B67392">
          <w:rPr>
            <w:noProof/>
            <w:webHidden/>
          </w:rPr>
          <w:fldChar w:fldCharType="separate"/>
        </w:r>
        <w:r w:rsidR="00A4243C">
          <w:rPr>
            <w:noProof/>
            <w:webHidden/>
          </w:rPr>
          <w:t>68</w:t>
        </w:r>
        <w:r w:rsidR="00B67392">
          <w:rPr>
            <w:noProof/>
            <w:webHidden/>
          </w:rPr>
          <w:fldChar w:fldCharType="end"/>
        </w:r>
      </w:hyperlink>
    </w:p>
    <w:p w14:paraId="53ABDDA9" w14:textId="253F2AA4"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2" w:history="1">
        <w:r w:rsidR="00B67392" w:rsidRPr="00BA5D7B">
          <w:rPr>
            <w:rStyle w:val="afff2"/>
            <w:noProof/>
          </w:rPr>
          <w:t>第十三部分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基金的收益与分配</w:t>
        </w:r>
        <w:r w:rsidR="00B67392">
          <w:rPr>
            <w:noProof/>
            <w:webHidden/>
          </w:rPr>
          <w:tab/>
        </w:r>
        <w:r w:rsidR="00B67392">
          <w:rPr>
            <w:noProof/>
            <w:webHidden/>
          </w:rPr>
          <w:fldChar w:fldCharType="begin"/>
        </w:r>
        <w:r w:rsidR="00B67392">
          <w:rPr>
            <w:noProof/>
            <w:webHidden/>
          </w:rPr>
          <w:instrText xml:space="preserve"> PAGEREF _Toc204678792 \h </w:instrText>
        </w:r>
        <w:r w:rsidR="00B67392">
          <w:rPr>
            <w:noProof/>
            <w:webHidden/>
          </w:rPr>
        </w:r>
        <w:r w:rsidR="00B67392">
          <w:rPr>
            <w:noProof/>
            <w:webHidden/>
          </w:rPr>
          <w:fldChar w:fldCharType="separate"/>
        </w:r>
        <w:r w:rsidR="00A4243C">
          <w:rPr>
            <w:noProof/>
            <w:webHidden/>
          </w:rPr>
          <w:t>75</w:t>
        </w:r>
        <w:r w:rsidR="00B67392">
          <w:rPr>
            <w:noProof/>
            <w:webHidden/>
          </w:rPr>
          <w:fldChar w:fldCharType="end"/>
        </w:r>
      </w:hyperlink>
    </w:p>
    <w:p w14:paraId="03638141" w14:textId="7AA06B12"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3" w:history="1">
        <w:r w:rsidR="00B67392" w:rsidRPr="00BA5D7B">
          <w:rPr>
            <w:rStyle w:val="afff2"/>
            <w:noProof/>
          </w:rPr>
          <w:t>第十四部分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基金费用与税收</w:t>
        </w:r>
        <w:r w:rsidR="00B67392">
          <w:rPr>
            <w:noProof/>
            <w:webHidden/>
          </w:rPr>
          <w:tab/>
        </w:r>
        <w:r w:rsidR="00B67392">
          <w:rPr>
            <w:noProof/>
            <w:webHidden/>
          </w:rPr>
          <w:fldChar w:fldCharType="begin"/>
        </w:r>
        <w:r w:rsidR="00B67392">
          <w:rPr>
            <w:noProof/>
            <w:webHidden/>
          </w:rPr>
          <w:instrText xml:space="preserve"> PAGEREF _Toc204678793 \h </w:instrText>
        </w:r>
        <w:r w:rsidR="00B67392">
          <w:rPr>
            <w:noProof/>
            <w:webHidden/>
          </w:rPr>
        </w:r>
        <w:r w:rsidR="00B67392">
          <w:rPr>
            <w:noProof/>
            <w:webHidden/>
          </w:rPr>
          <w:fldChar w:fldCharType="separate"/>
        </w:r>
        <w:r w:rsidR="00A4243C">
          <w:rPr>
            <w:noProof/>
            <w:webHidden/>
          </w:rPr>
          <w:t>77</w:t>
        </w:r>
        <w:r w:rsidR="00B67392">
          <w:rPr>
            <w:noProof/>
            <w:webHidden/>
          </w:rPr>
          <w:fldChar w:fldCharType="end"/>
        </w:r>
      </w:hyperlink>
    </w:p>
    <w:p w14:paraId="1B623A76" w14:textId="3B78F584"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4" w:history="1">
        <w:r w:rsidR="00B67392" w:rsidRPr="00BA5D7B">
          <w:rPr>
            <w:rStyle w:val="afff2"/>
            <w:noProof/>
          </w:rPr>
          <w:t>第十五部分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基金的会计与审计</w:t>
        </w:r>
        <w:r w:rsidR="00B67392">
          <w:rPr>
            <w:noProof/>
            <w:webHidden/>
          </w:rPr>
          <w:tab/>
        </w:r>
        <w:r w:rsidR="00B67392">
          <w:rPr>
            <w:noProof/>
            <w:webHidden/>
          </w:rPr>
          <w:fldChar w:fldCharType="begin"/>
        </w:r>
        <w:r w:rsidR="00B67392">
          <w:rPr>
            <w:noProof/>
            <w:webHidden/>
          </w:rPr>
          <w:instrText xml:space="preserve"> PAGEREF _Toc204678794 \h </w:instrText>
        </w:r>
        <w:r w:rsidR="00B67392">
          <w:rPr>
            <w:noProof/>
            <w:webHidden/>
          </w:rPr>
        </w:r>
        <w:r w:rsidR="00B67392">
          <w:rPr>
            <w:noProof/>
            <w:webHidden/>
          </w:rPr>
          <w:fldChar w:fldCharType="separate"/>
        </w:r>
        <w:r w:rsidR="00A4243C">
          <w:rPr>
            <w:noProof/>
            <w:webHidden/>
          </w:rPr>
          <w:t>80</w:t>
        </w:r>
        <w:r w:rsidR="00B67392">
          <w:rPr>
            <w:noProof/>
            <w:webHidden/>
          </w:rPr>
          <w:fldChar w:fldCharType="end"/>
        </w:r>
      </w:hyperlink>
    </w:p>
    <w:p w14:paraId="22697BEA" w14:textId="3A3FE5FF"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5" w:history="1">
        <w:r w:rsidR="00B67392" w:rsidRPr="00BA5D7B">
          <w:rPr>
            <w:rStyle w:val="afff2"/>
            <w:noProof/>
          </w:rPr>
          <w:t>第十六部分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基金的信息披露</w:t>
        </w:r>
        <w:r w:rsidR="00B67392">
          <w:rPr>
            <w:noProof/>
            <w:webHidden/>
          </w:rPr>
          <w:tab/>
        </w:r>
        <w:r w:rsidR="00B67392">
          <w:rPr>
            <w:noProof/>
            <w:webHidden/>
          </w:rPr>
          <w:fldChar w:fldCharType="begin"/>
        </w:r>
        <w:r w:rsidR="00B67392">
          <w:rPr>
            <w:noProof/>
            <w:webHidden/>
          </w:rPr>
          <w:instrText xml:space="preserve"> PAGEREF _Toc204678795 \h </w:instrText>
        </w:r>
        <w:r w:rsidR="00B67392">
          <w:rPr>
            <w:noProof/>
            <w:webHidden/>
          </w:rPr>
        </w:r>
        <w:r w:rsidR="00B67392">
          <w:rPr>
            <w:noProof/>
            <w:webHidden/>
          </w:rPr>
          <w:fldChar w:fldCharType="separate"/>
        </w:r>
        <w:r w:rsidR="00A4243C">
          <w:rPr>
            <w:noProof/>
            <w:webHidden/>
          </w:rPr>
          <w:t>81</w:t>
        </w:r>
        <w:r w:rsidR="00B67392">
          <w:rPr>
            <w:noProof/>
            <w:webHidden/>
          </w:rPr>
          <w:fldChar w:fldCharType="end"/>
        </w:r>
      </w:hyperlink>
    </w:p>
    <w:p w14:paraId="43C37894" w14:textId="41403647"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6" w:history="1">
        <w:r w:rsidR="00B67392" w:rsidRPr="00BA5D7B">
          <w:rPr>
            <w:rStyle w:val="afff2"/>
            <w:noProof/>
          </w:rPr>
          <w:t>第十七部分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风险揭示</w:t>
        </w:r>
        <w:r w:rsidR="00B67392">
          <w:rPr>
            <w:noProof/>
            <w:webHidden/>
          </w:rPr>
          <w:tab/>
        </w:r>
        <w:r w:rsidR="00B67392">
          <w:rPr>
            <w:noProof/>
            <w:webHidden/>
          </w:rPr>
          <w:fldChar w:fldCharType="begin"/>
        </w:r>
        <w:r w:rsidR="00B67392">
          <w:rPr>
            <w:noProof/>
            <w:webHidden/>
          </w:rPr>
          <w:instrText xml:space="preserve"> PAGEREF _Toc204678796 \h </w:instrText>
        </w:r>
        <w:r w:rsidR="00B67392">
          <w:rPr>
            <w:noProof/>
            <w:webHidden/>
          </w:rPr>
        </w:r>
        <w:r w:rsidR="00B67392">
          <w:rPr>
            <w:noProof/>
            <w:webHidden/>
          </w:rPr>
          <w:fldChar w:fldCharType="separate"/>
        </w:r>
        <w:r w:rsidR="00A4243C">
          <w:rPr>
            <w:noProof/>
            <w:webHidden/>
          </w:rPr>
          <w:t>88</w:t>
        </w:r>
        <w:r w:rsidR="00B67392">
          <w:rPr>
            <w:noProof/>
            <w:webHidden/>
          </w:rPr>
          <w:fldChar w:fldCharType="end"/>
        </w:r>
      </w:hyperlink>
    </w:p>
    <w:p w14:paraId="3CF5A4ED" w14:textId="1C1BFD26"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7" w:history="1">
        <w:r w:rsidR="00B67392" w:rsidRPr="00BA5D7B">
          <w:rPr>
            <w:rStyle w:val="afff2"/>
            <w:noProof/>
          </w:rPr>
          <w:t>第十八部分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基金合同的变更、终止与基金财产的清算</w:t>
        </w:r>
        <w:r w:rsidR="00B67392">
          <w:rPr>
            <w:noProof/>
            <w:webHidden/>
          </w:rPr>
          <w:tab/>
        </w:r>
        <w:r w:rsidR="00B67392">
          <w:rPr>
            <w:noProof/>
            <w:webHidden/>
          </w:rPr>
          <w:fldChar w:fldCharType="begin"/>
        </w:r>
        <w:r w:rsidR="00B67392">
          <w:rPr>
            <w:noProof/>
            <w:webHidden/>
          </w:rPr>
          <w:instrText xml:space="preserve"> PAGEREF _Toc204678797 \h </w:instrText>
        </w:r>
        <w:r w:rsidR="00B67392">
          <w:rPr>
            <w:noProof/>
            <w:webHidden/>
          </w:rPr>
        </w:r>
        <w:r w:rsidR="00B67392">
          <w:rPr>
            <w:noProof/>
            <w:webHidden/>
          </w:rPr>
          <w:fldChar w:fldCharType="separate"/>
        </w:r>
        <w:r w:rsidR="00A4243C">
          <w:rPr>
            <w:noProof/>
            <w:webHidden/>
          </w:rPr>
          <w:t>101</w:t>
        </w:r>
        <w:r w:rsidR="00B67392">
          <w:rPr>
            <w:noProof/>
            <w:webHidden/>
          </w:rPr>
          <w:fldChar w:fldCharType="end"/>
        </w:r>
      </w:hyperlink>
    </w:p>
    <w:p w14:paraId="36C4E5CD" w14:textId="72088AC2"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8" w:history="1">
        <w:r w:rsidR="00B67392" w:rsidRPr="00BA5D7B">
          <w:rPr>
            <w:rStyle w:val="afff2"/>
            <w:noProof/>
          </w:rPr>
          <w:t>第十九部分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基金合同的内容摘要</w:t>
        </w:r>
        <w:r w:rsidR="00B67392">
          <w:rPr>
            <w:noProof/>
            <w:webHidden/>
          </w:rPr>
          <w:tab/>
        </w:r>
        <w:r w:rsidR="00B67392">
          <w:rPr>
            <w:noProof/>
            <w:webHidden/>
          </w:rPr>
          <w:fldChar w:fldCharType="begin"/>
        </w:r>
        <w:r w:rsidR="00B67392">
          <w:rPr>
            <w:noProof/>
            <w:webHidden/>
          </w:rPr>
          <w:instrText xml:space="preserve"> PAGEREF _Toc204678798 \h </w:instrText>
        </w:r>
        <w:r w:rsidR="00B67392">
          <w:rPr>
            <w:noProof/>
            <w:webHidden/>
          </w:rPr>
        </w:r>
        <w:r w:rsidR="00B67392">
          <w:rPr>
            <w:noProof/>
            <w:webHidden/>
          </w:rPr>
          <w:fldChar w:fldCharType="separate"/>
        </w:r>
        <w:r w:rsidR="00A4243C">
          <w:rPr>
            <w:noProof/>
            <w:webHidden/>
          </w:rPr>
          <w:t>103</w:t>
        </w:r>
        <w:r w:rsidR="00B67392">
          <w:rPr>
            <w:noProof/>
            <w:webHidden/>
          </w:rPr>
          <w:fldChar w:fldCharType="end"/>
        </w:r>
      </w:hyperlink>
    </w:p>
    <w:p w14:paraId="3AB0AAD0" w14:textId="14AE86E5" w:rsidR="00B67392" w:rsidRDefault="00C74FB5">
      <w:pPr>
        <w:pStyle w:val="TOC1"/>
        <w:tabs>
          <w:tab w:val="left" w:pos="1470"/>
          <w:tab w:val="right" w:leader="middleDot" w:pos="8296"/>
        </w:tabs>
        <w:rPr>
          <w:rFonts w:asciiTheme="minorHAnsi" w:eastAsiaTheme="minorEastAsia" w:hAnsiTheme="minorHAnsi" w:cstheme="minorBidi"/>
          <w:b w:val="0"/>
          <w:bCs w:val="0"/>
          <w:caps w:val="0"/>
          <w:noProof/>
          <w:sz w:val="21"/>
          <w:szCs w:val="22"/>
        </w:rPr>
      </w:pPr>
      <w:hyperlink w:anchor="_Toc204678799" w:history="1">
        <w:r w:rsidR="00B67392" w:rsidRPr="00BA5D7B">
          <w:rPr>
            <w:rStyle w:val="afff2"/>
            <w:noProof/>
          </w:rPr>
          <w:t>第二十部分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基金托管协议的内容摘要</w:t>
        </w:r>
        <w:r w:rsidR="00B67392">
          <w:rPr>
            <w:noProof/>
            <w:webHidden/>
          </w:rPr>
          <w:tab/>
        </w:r>
        <w:r w:rsidR="00B67392">
          <w:rPr>
            <w:noProof/>
            <w:webHidden/>
          </w:rPr>
          <w:fldChar w:fldCharType="begin"/>
        </w:r>
        <w:r w:rsidR="00B67392">
          <w:rPr>
            <w:noProof/>
            <w:webHidden/>
          </w:rPr>
          <w:instrText xml:space="preserve"> PAGEREF _Toc204678799 \h </w:instrText>
        </w:r>
        <w:r w:rsidR="00B67392">
          <w:rPr>
            <w:noProof/>
            <w:webHidden/>
          </w:rPr>
        </w:r>
        <w:r w:rsidR="00B67392">
          <w:rPr>
            <w:noProof/>
            <w:webHidden/>
          </w:rPr>
          <w:fldChar w:fldCharType="separate"/>
        </w:r>
        <w:r w:rsidR="00A4243C">
          <w:rPr>
            <w:noProof/>
            <w:webHidden/>
          </w:rPr>
          <w:t>133</w:t>
        </w:r>
        <w:r w:rsidR="00B67392">
          <w:rPr>
            <w:noProof/>
            <w:webHidden/>
          </w:rPr>
          <w:fldChar w:fldCharType="end"/>
        </w:r>
      </w:hyperlink>
    </w:p>
    <w:p w14:paraId="2695B007" w14:textId="5D09D99F" w:rsidR="00B67392" w:rsidRDefault="00C74FB5">
      <w:pPr>
        <w:pStyle w:val="TOC1"/>
        <w:tabs>
          <w:tab w:val="left" w:pos="1656"/>
          <w:tab w:val="right" w:leader="middleDot" w:pos="8296"/>
        </w:tabs>
        <w:rPr>
          <w:rFonts w:asciiTheme="minorHAnsi" w:eastAsiaTheme="minorEastAsia" w:hAnsiTheme="minorHAnsi" w:cstheme="minorBidi"/>
          <w:b w:val="0"/>
          <w:bCs w:val="0"/>
          <w:caps w:val="0"/>
          <w:noProof/>
          <w:sz w:val="21"/>
          <w:szCs w:val="22"/>
        </w:rPr>
      </w:pPr>
      <w:hyperlink w:anchor="_Toc204678800" w:history="1">
        <w:r w:rsidR="00B67392" w:rsidRPr="00BA5D7B">
          <w:rPr>
            <w:rStyle w:val="afff2"/>
            <w:noProof/>
          </w:rPr>
          <w:t>第二十一部分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对基金份额持有人的服务</w:t>
        </w:r>
        <w:r w:rsidR="00B67392">
          <w:rPr>
            <w:noProof/>
            <w:webHidden/>
          </w:rPr>
          <w:tab/>
        </w:r>
        <w:r w:rsidR="00B67392">
          <w:rPr>
            <w:noProof/>
            <w:webHidden/>
          </w:rPr>
          <w:fldChar w:fldCharType="begin"/>
        </w:r>
        <w:r w:rsidR="00B67392">
          <w:rPr>
            <w:noProof/>
            <w:webHidden/>
          </w:rPr>
          <w:instrText xml:space="preserve"> PAGEREF _Toc204678800 \h </w:instrText>
        </w:r>
        <w:r w:rsidR="00B67392">
          <w:rPr>
            <w:noProof/>
            <w:webHidden/>
          </w:rPr>
        </w:r>
        <w:r w:rsidR="00B67392">
          <w:rPr>
            <w:noProof/>
            <w:webHidden/>
          </w:rPr>
          <w:fldChar w:fldCharType="separate"/>
        </w:r>
        <w:r w:rsidR="00A4243C">
          <w:rPr>
            <w:noProof/>
            <w:webHidden/>
          </w:rPr>
          <w:t>151</w:t>
        </w:r>
        <w:r w:rsidR="00B67392">
          <w:rPr>
            <w:noProof/>
            <w:webHidden/>
          </w:rPr>
          <w:fldChar w:fldCharType="end"/>
        </w:r>
      </w:hyperlink>
    </w:p>
    <w:p w14:paraId="578EB470" w14:textId="0F29C1F0" w:rsidR="00B67392" w:rsidRDefault="00C74FB5">
      <w:pPr>
        <w:pStyle w:val="TOC1"/>
        <w:tabs>
          <w:tab w:val="left" w:pos="1656"/>
          <w:tab w:val="right" w:leader="middleDot" w:pos="8296"/>
        </w:tabs>
        <w:rPr>
          <w:rFonts w:asciiTheme="minorHAnsi" w:eastAsiaTheme="minorEastAsia" w:hAnsiTheme="minorHAnsi" w:cstheme="minorBidi"/>
          <w:b w:val="0"/>
          <w:bCs w:val="0"/>
          <w:caps w:val="0"/>
          <w:noProof/>
          <w:sz w:val="21"/>
          <w:szCs w:val="22"/>
        </w:rPr>
      </w:pPr>
      <w:hyperlink w:anchor="_Toc204678801" w:history="1">
        <w:r w:rsidR="00B67392" w:rsidRPr="00BA5D7B">
          <w:rPr>
            <w:rStyle w:val="afff2"/>
            <w:noProof/>
          </w:rPr>
          <w:t>第二十二部分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其他应披露事项</w:t>
        </w:r>
        <w:r w:rsidR="00B67392">
          <w:rPr>
            <w:noProof/>
            <w:webHidden/>
          </w:rPr>
          <w:tab/>
        </w:r>
        <w:r w:rsidR="00B67392">
          <w:rPr>
            <w:noProof/>
            <w:webHidden/>
          </w:rPr>
          <w:fldChar w:fldCharType="begin"/>
        </w:r>
        <w:r w:rsidR="00B67392">
          <w:rPr>
            <w:noProof/>
            <w:webHidden/>
          </w:rPr>
          <w:instrText xml:space="preserve"> PAGEREF _Toc204678801 \h </w:instrText>
        </w:r>
        <w:r w:rsidR="00B67392">
          <w:rPr>
            <w:noProof/>
            <w:webHidden/>
          </w:rPr>
        </w:r>
        <w:r w:rsidR="00B67392">
          <w:rPr>
            <w:noProof/>
            <w:webHidden/>
          </w:rPr>
          <w:fldChar w:fldCharType="separate"/>
        </w:r>
        <w:r w:rsidR="00A4243C">
          <w:rPr>
            <w:noProof/>
            <w:webHidden/>
          </w:rPr>
          <w:t>153</w:t>
        </w:r>
        <w:r w:rsidR="00B67392">
          <w:rPr>
            <w:noProof/>
            <w:webHidden/>
          </w:rPr>
          <w:fldChar w:fldCharType="end"/>
        </w:r>
      </w:hyperlink>
    </w:p>
    <w:p w14:paraId="18AD19DC" w14:textId="2417AAA5" w:rsidR="00B67392" w:rsidRDefault="00C74FB5">
      <w:pPr>
        <w:pStyle w:val="TOC1"/>
        <w:tabs>
          <w:tab w:val="left" w:pos="1656"/>
          <w:tab w:val="right" w:leader="middleDot" w:pos="8296"/>
        </w:tabs>
        <w:rPr>
          <w:rFonts w:asciiTheme="minorHAnsi" w:eastAsiaTheme="minorEastAsia" w:hAnsiTheme="minorHAnsi" w:cstheme="minorBidi"/>
          <w:b w:val="0"/>
          <w:bCs w:val="0"/>
          <w:caps w:val="0"/>
          <w:noProof/>
          <w:sz w:val="21"/>
          <w:szCs w:val="22"/>
        </w:rPr>
      </w:pPr>
      <w:hyperlink w:anchor="_Toc204678802" w:history="1">
        <w:r w:rsidR="00B67392" w:rsidRPr="00BA5D7B">
          <w:rPr>
            <w:rStyle w:val="afff2"/>
            <w:noProof/>
          </w:rPr>
          <w:t>第二十三部分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招募说明书存放及其查阅方式</w:t>
        </w:r>
        <w:r w:rsidR="00B67392">
          <w:rPr>
            <w:noProof/>
            <w:webHidden/>
          </w:rPr>
          <w:tab/>
        </w:r>
        <w:r w:rsidR="00B67392">
          <w:rPr>
            <w:noProof/>
            <w:webHidden/>
          </w:rPr>
          <w:fldChar w:fldCharType="begin"/>
        </w:r>
        <w:r w:rsidR="00B67392">
          <w:rPr>
            <w:noProof/>
            <w:webHidden/>
          </w:rPr>
          <w:instrText xml:space="preserve"> PAGEREF _Toc204678802 \h </w:instrText>
        </w:r>
        <w:r w:rsidR="00B67392">
          <w:rPr>
            <w:noProof/>
            <w:webHidden/>
          </w:rPr>
        </w:r>
        <w:r w:rsidR="00B67392">
          <w:rPr>
            <w:noProof/>
            <w:webHidden/>
          </w:rPr>
          <w:fldChar w:fldCharType="separate"/>
        </w:r>
        <w:r w:rsidR="00A4243C">
          <w:rPr>
            <w:noProof/>
            <w:webHidden/>
          </w:rPr>
          <w:t>159</w:t>
        </w:r>
        <w:r w:rsidR="00B67392">
          <w:rPr>
            <w:noProof/>
            <w:webHidden/>
          </w:rPr>
          <w:fldChar w:fldCharType="end"/>
        </w:r>
      </w:hyperlink>
    </w:p>
    <w:p w14:paraId="43C5D959" w14:textId="133A6E58" w:rsidR="00B67392" w:rsidRDefault="00C74FB5">
      <w:pPr>
        <w:pStyle w:val="TOC1"/>
        <w:tabs>
          <w:tab w:val="left" w:pos="1656"/>
          <w:tab w:val="right" w:leader="middleDot" w:pos="8296"/>
        </w:tabs>
        <w:rPr>
          <w:rFonts w:asciiTheme="minorHAnsi" w:eastAsiaTheme="minorEastAsia" w:hAnsiTheme="minorHAnsi" w:cstheme="minorBidi"/>
          <w:b w:val="0"/>
          <w:bCs w:val="0"/>
          <w:caps w:val="0"/>
          <w:noProof/>
          <w:sz w:val="21"/>
          <w:szCs w:val="22"/>
        </w:rPr>
      </w:pPr>
      <w:hyperlink w:anchor="_Toc204678803" w:history="1">
        <w:r w:rsidR="00B67392" w:rsidRPr="00BA5D7B">
          <w:rPr>
            <w:rStyle w:val="afff2"/>
            <w:noProof/>
          </w:rPr>
          <w:t>第二十四部分</w:t>
        </w:r>
        <w:r w:rsidR="00B67392">
          <w:rPr>
            <w:rFonts w:asciiTheme="minorHAnsi" w:eastAsiaTheme="minorEastAsia" w:hAnsiTheme="minorHAnsi" w:cstheme="minorBidi"/>
            <w:b w:val="0"/>
            <w:bCs w:val="0"/>
            <w:caps w:val="0"/>
            <w:noProof/>
            <w:sz w:val="21"/>
            <w:szCs w:val="22"/>
          </w:rPr>
          <w:tab/>
        </w:r>
        <w:r w:rsidR="00B67392" w:rsidRPr="00BA5D7B">
          <w:rPr>
            <w:rStyle w:val="afff2"/>
            <w:noProof/>
          </w:rPr>
          <w:t>备查文件</w:t>
        </w:r>
        <w:r w:rsidR="00B67392">
          <w:rPr>
            <w:noProof/>
            <w:webHidden/>
          </w:rPr>
          <w:tab/>
        </w:r>
        <w:r w:rsidR="00B67392">
          <w:rPr>
            <w:noProof/>
            <w:webHidden/>
          </w:rPr>
          <w:fldChar w:fldCharType="begin"/>
        </w:r>
        <w:r w:rsidR="00B67392">
          <w:rPr>
            <w:noProof/>
            <w:webHidden/>
          </w:rPr>
          <w:instrText xml:space="preserve"> PAGEREF _Toc204678803 \h </w:instrText>
        </w:r>
        <w:r w:rsidR="00B67392">
          <w:rPr>
            <w:noProof/>
            <w:webHidden/>
          </w:rPr>
        </w:r>
        <w:r w:rsidR="00B67392">
          <w:rPr>
            <w:noProof/>
            <w:webHidden/>
          </w:rPr>
          <w:fldChar w:fldCharType="separate"/>
        </w:r>
        <w:r w:rsidR="00A4243C">
          <w:rPr>
            <w:noProof/>
            <w:webHidden/>
          </w:rPr>
          <w:t>160</w:t>
        </w:r>
        <w:r w:rsidR="00B67392">
          <w:rPr>
            <w:noProof/>
            <w:webHidden/>
          </w:rPr>
          <w:fldChar w:fldCharType="end"/>
        </w:r>
      </w:hyperlink>
    </w:p>
    <w:p w14:paraId="5BB05CB0" w14:textId="77777777" w:rsidR="008A6127" w:rsidRDefault="00437D9F">
      <w:pPr>
        <w:snapToGrid w:val="0"/>
        <w:spacing w:line="360" w:lineRule="auto"/>
        <w:rPr>
          <w:rFonts w:ascii="Cambria" w:hAnsi="Cambria"/>
        </w:rPr>
        <w:sectPr w:rsidR="008A6127">
          <w:pgSz w:w="11906" w:h="16838"/>
          <w:pgMar w:top="1440" w:right="1800" w:bottom="1440" w:left="1800" w:header="851" w:footer="992" w:gutter="0"/>
          <w:cols w:space="720"/>
          <w:docGrid w:type="lines" w:linePitch="312"/>
        </w:sectPr>
      </w:pPr>
      <w:r>
        <w:rPr>
          <w:rFonts w:ascii="Cambria" w:hAnsi="Cambria"/>
          <w:caps/>
          <w:szCs w:val="21"/>
        </w:rPr>
        <w:fldChar w:fldCharType="end"/>
      </w:r>
    </w:p>
    <w:p w14:paraId="17E0B3DE"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20" w:name="_Toc360794511"/>
      <w:bookmarkStart w:id="21" w:name="_Toc79132642"/>
      <w:bookmarkStart w:id="22" w:name="_Toc3109"/>
      <w:bookmarkStart w:id="23" w:name="_Toc362455178"/>
      <w:bookmarkStart w:id="24" w:name="_Toc25043"/>
      <w:bookmarkStart w:id="25" w:name="_Toc23299"/>
      <w:bookmarkStart w:id="26" w:name="_Toc18653"/>
      <w:bookmarkStart w:id="27" w:name="_Toc73936074"/>
      <w:bookmarkStart w:id="28" w:name="_Toc362533450"/>
      <w:bookmarkStart w:id="29" w:name="_Toc215629791"/>
      <w:bookmarkStart w:id="30" w:name="_Toc350789211"/>
      <w:bookmarkStart w:id="31" w:name="_Toc360794403"/>
      <w:bookmarkStart w:id="32" w:name="_Toc360793493"/>
      <w:bookmarkStart w:id="33" w:name="_Toc405455118"/>
      <w:bookmarkStart w:id="34" w:name="_Toc360793845"/>
      <w:bookmarkStart w:id="35" w:name="_Toc19075"/>
      <w:bookmarkStart w:id="36" w:name="_Toc80103054"/>
      <w:bookmarkStart w:id="37" w:name="_Toc421532539"/>
      <w:bookmarkStart w:id="38" w:name="_Toc360794095"/>
      <w:bookmarkStart w:id="39" w:name="_Toc204678780"/>
      <w:bookmarkStart w:id="40" w:name="_Toc10604981"/>
      <w:bookmarkStart w:id="41" w:name="_Toc454720091"/>
      <w:bookmarkStart w:id="42" w:name="_Toc4917378"/>
      <w:r>
        <w:rPr>
          <w:rFonts w:ascii="Cambria" w:hAnsi="Cambria" w:hint="eastAsia"/>
          <w:sz w:val="32"/>
          <w:szCs w:val="32"/>
        </w:rPr>
        <w:lastRenderedPageBreak/>
        <w:t>绪言</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2260FCA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《朱雀产业臻选混合型证券投资基金招募说明书》（以下简称“招募说明书”或“本招募说明书”）依据《中华人民共和国证券投资基金法》（以下简称</w:t>
      </w:r>
      <w:r>
        <w:rPr>
          <w:rFonts w:ascii="宋体" w:hAnsi="宋体"/>
          <w:sz w:val="24"/>
        </w:rPr>
        <w:t>“</w:t>
      </w:r>
      <w:r>
        <w:rPr>
          <w:rFonts w:ascii="宋体" w:hAnsi="宋体" w:hint="eastAsia"/>
          <w:sz w:val="24"/>
        </w:rPr>
        <w:t>《基金法》</w:t>
      </w:r>
      <w:r>
        <w:rPr>
          <w:rFonts w:ascii="宋体" w:hAnsi="宋体"/>
          <w:sz w:val="24"/>
        </w:rPr>
        <w:t>”</w:t>
      </w:r>
      <w:r>
        <w:rPr>
          <w:rFonts w:ascii="宋体" w:hAnsi="宋体" w:hint="eastAsia"/>
          <w:sz w:val="24"/>
        </w:rPr>
        <w:t>）、《公开募集证券投资基金运作管理办法》（以下简称</w:t>
      </w:r>
      <w:r>
        <w:rPr>
          <w:rFonts w:ascii="宋体" w:hAnsi="宋体"/>
          <w:sz w:val="24"/>
        </w:rPr>
        <w:t>“</w:t>
      </w:r>
      <w:r>
        <w:rPr>
          <w:rFonts w:ascii="宋体" w:hAnsi="宋体" w:hint="eastAsia"/>
          <w:sz w:val="24"/>
        </w:rPr>
        <w:t>《运作办法》</w:t>
      </w:r>
      <w:r>
        <w:rPr>
          <w:rFonts w:ascii="宋体" w:hAnsi="宋体"/>
          <w:sz w:val="24"/>
        </w:rPr>
        <w:t>”</w:t>
      </w:r>
      <w:r>
        <w:rPr>
          <w:rFonts w:ascii="宋体" w:hAnsi="宋体" w:hint="eastAsia"/>
          <w:sz w:val="24"/>
        </w:rPr>
        <w:t>）、</w:t>
      </w:r>
      <w:r>
        <w:rPr>
          <w:rFonts w:ascii="宋体" w:hAnsi="宋体" w:hint="eastAsia"/>
          <w:bCs/>
          <w:sz w:val="24"/>
        </w:rPr>
        <w:t>《公开募集证券投资基金销售机构监督管理办法》</w:t>
      </w:r>
      <w:r>
        <w:rPr>
          <w:rFonts w:ascii="宋体" w:hAnsi="宋体" w:hint="eastAsia"/>
          <w:sz w:val="24"/>
        </w:rPr>
        <w:t>（以下简称</w:t>
      </w:r>
      <w:r>
        <w:rPr>
          <w:rFonts w:ascii="宋体" w:hAnsi="宋体"/>
          <w:sz w:val="24"/>
        </w:rPr>
        <w:t>“</w:t>
      </w:r>
      <w:r>
        <w:rPr>
          <w:rFonts w:ascii="宋体" w:hAnsi="宋体" w:hint="eastAsia"/>
          <w:sz w:val="24"/>
        </w:rPr>
        <w:t>《销售办法》</w:t>
      </w:r>
      <w:r>
        <w:rPr>
          <w:rFonts w:ascii="宋体" w:hAnsi="宋体"/>
          <w:sz w:val="24"/>
        </w:rPr>
        <w:t>”</w:t>
      </w:r>
      <w:r>
        <w:rPr>
          <w:rFonts w:ascii="宋体" w:hAnsi="宋体" w:hint="eastAsia"/>
          <w:sz w:val="24"/>
        </w:rPr>
        <w:t>）、《公开募集证券投资基金信息披露管理办法》（以下简称</w:t>
      </w:r>
      <w:r>
        <w:rPr>
          <w:rFonts w:ascii="宋体" w:hAnsi="宋体"/>
          <w:sz w:val="24"/>
        </w:rPr>
        <w:t>“</w:t>
      </w:r>
      <w:r>
        <w:rPr>
          <w:rFonts w:ascii="宋体" w:hAnsi="宋体" w:hint="eastAsia"/>
          <w:sz w:val="24"/>
        </w:rPr>
        <w:t>《信息披露办法》</w:t>
      </w:r>
      <w:r>
        <w:rPr>
          <w:rFonts w:ascii="宋体" w:hAnsi="宋体"/>
          <w:sz w:val="24"/>
        </w:rPr>
        <w:t>”</w:t>
      </w:r>
      <w:r>
        <w:rPr>
          <w:rFonts w:ascii="宋体" w:hAnsi="宋体" w:hint="eastAsia"/>
          <w:sz w:val="24"/>
        </w:rPr>
        <w:t>）、</w:t>
      </w:r>
      <w:r>
        <w:rPr>
          <w:rFonts w:ascii="宋体" w:hAnsi="宋体"/>
          <w:sz w:val="24"/>
        </w:rPr>
        <w:t>《公开募集开放式证券投资基金流动性风险管理规定》（以下简称“《流动性风险</w:t>
      </w:r>
      <w:r>
        <w:rPr>
          <w:rFonts w:ascii="宋体" w:hAnsi="宋体" w:hint="eastAsia"/>
          <w:sz w:val="24"/>
        </w:rPr>
        <w:t>管理</w:t>
      </w:r>
      <w:r>
        <w:rPr>
          <w:rFonts w:ascii="宋体" w:hAnsi="宋体"/>
          <w:sz w:val="24"/>
        </w:rPr>
        <w:t>规定》”）</w:t>
      </w:r>
      <w:r>
        <w:rPr>
          <w:rFonts w:ascii="宋体" w:hAnsi="宋体" w:hint="eastAsia"/>
          <w:sz w:val="24"/>
        </w:rPr>
        <w:t>、《证券投资基金信息披露内容与格式准则第</w:t>
      </w:r>
      <w:r>
        <w:rPr>
          <w:rFonts w:ascii="宋体" w:hAnsi="宋体"/>
          <w:sz w:val="24"/>
        </w:rPr>
        <w:t>5</w:t>
      </w:r>
      <w:r>
        <w:rPr>
          <w:rFonts w:ascii="宋体" w:hAnsi="宋体" w:hint="eastAsia"/>
          <w:sz w:val="24"/>
        </w:rPr>
        <w:t>号</w:t>
      </w:r>
      <w:r>
        <w:rPr>
          <w:rFonts w:ascii="宋体" w:hAnsi="宋体"/>
          <w:sz w:val="24"/>
        </w:rPr>
        <w:t>&lt;</w:t>
      </w:r>
      <w:r>
        <w:rPr>
          <w:rFonts w:ascii="宋体" w:hAnsi="宋体" w:hint="eastAsia"/>
          <w:sz w:val="24"/>
        </w:rPr>
        <w:t>招募说明书的内容与格式</w:t>
      </w:r>
      <w:r>
        <w:rPr>
          <w:rFonts w:ascii="宋体" w:hAnsi="宋体"/>
          <w:sz w:val="24"/>
        </w:rPr>
        <w:t>&gt;</w:t>
      </w:r>
      <w:r>
        <w:rPr>
          <w:rFonts w:ascii="宋体" w:hAnsi="宋体" w:hint="eastAsia"/>
          <w:sz w:val="24"/>
        </w:rPr>
        <w:t>》和其他有关法律法规以及《朱雀产业臻选混合型证券投资基金基金合同》（以下简称“基金合同”）编写。</w:t>
      </w:r>
    </w:p>
    <w:p w14:paraId="7DC9649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本招募说明书阐述了朱雀产业</w:t>
      </w:r>
      <w:proofErr w:type="gramStart"/>
      <w:r>
        <w:rPr>
          <w:rFonts w:ascii="宋体" w:hAnsi="宋体" w:hint="eastAsia"/>
          <w:sz w:val="24"/>
        </w:rPr>
        <w:t>臻</w:t>
      </w:r>
      <w:proofErr w:type="gramEnd"/>
      <w:r>
        <w:rPr>
          <w:rFonts w:ascii="宋体" w:hAnsi="宋体" w:hint="eastAsia"/>
          <w:sz w:val="24"/>
        </w:rPr>
        <w:t>选混合型证券投资基金的投资目标、策略、风险、费率等与投资者投资决策有关的全部必要事项，投资者在</w:t>
      </w:r>
      <w:proofErr w:type="gramStart"/>
      <w:r>
        <w:rPr>
          <w:rFonts w:ascii="宋体" w:hAnsi="宋体" w:hint="eastAsia"/>
          <w:sz w:val="24"/>
        </w:rPr>
        <w:t>作</w:t>
      </w:r>
      <w:proofErr w:type="gramEnd"/>
      <w:r>
        <w:rPr>
          <w:rFonts w:ascii="宋体" w:hAnsi="宋体" w:hint="eastAsia"/>
          <w:sz w:val="24"/>
        </w:rPr>
        <w:t>出投资决策前应仔细阅读本招募说明书。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14:paraId="3223D69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本招募说明书根据本基金的基金合同编写，并经中国证监会注册。基金合同是约定基金合同当事人之间权利、义务的法律文件。基金</w:t>
      </w:r>
      <w:proofErr w:type="gramStart"/>
      <w:r>
        <w:rPr>
          <w:rFonts w:ascii="宋体" w:hAnsi="宋体" w:hint="eastAsia"/>
          <w:sz w:val="24"/>
        </w:rPr>
        <w:t>投资人自依基金</w:t>
      </w:r>
      <w:proofErr w:type="gramEnd"/>
      <w:r>
        <w:rPr>
          <w:rFonts w:ascii="宋体" w:hAnsi="宋体" w:hint="eastAsia"/>
          <w:sz w:val="24"/>
        </w:rPr>
        <w:t>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23ECE08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本基金按照中国法律法规成立并运作，</w:t>
      </w:r>
      <w:proofErr w:type="gramStart"/>
      <w:r>
        <w:rPr>
          <w:rFonts w:ascii="宋体" w:hAnsi="宋体" w:hint="eastAsia"/>
          <w:sz w:val="24"/>
        </w:rPr>
        <w:t>若基金</w:t>
      </w:r>
      <w:proofErr w:type="gramEnd"/>
      <w:r>
        <w:rPr>
          <w:rFonts w:ascii="宋体" w:hAnsi="宋体" w:hint="eastAsia"/>
          <w:sz w:val="24"/>
        </w:rPr>
        <w:t>合同、招募说明书的内容与届时有效的法律法规的强制性规定不一致，应当以届时有效的法律法规的规定为准。</w:t>
      </w:r>
    </w:p>
    <w:p w14:paraId="516EB4A5" w14:textId="77777777" w:rsidR="008A6127" w:rsidRDefault="008A6127">
      <w:pPr>
        <w:snapToGrid w:val="0"/>
        <w:spacing w:line="360" w:lineRule="auto"/>
        <w:ind w:firstLineChars="200" w:firstLine="420"/>
        <w:rPr>
          <w:rFonts w:ascii="Cambria" w:hAnsi="Cambria"/>
          <w:szCs w:val="21"/>
        </w:rPr>
      </w:pPr>
    </w:p>
    <w:p w14:paraId="1D9AB092" w14:textId="77777777" w:rsidR="008A6127" w:rsidRDefault="008A6127">
      <w:pPr>
        <w:snapToGrid w:val="0"/>
        <w:spacing w:line="360" w:lineRule="auto"/>
        <w:ind w:firstLineChars="200" w:firstLine="420"/>
        <w:rPr>
          <w:rFonts w:ascii="Cambria" w:hAnsi="Cambria"/>
          <w:szCs w:val="21"/>
        </w:rPr>
        <w:sectPr w:rsidR="008A6127">
          <w:footerReference w:type="first" r:id="rId16"/>
          <w:pgSz w:w="11906" w:h="16838"/>
          <w:pgMar w:top="1440" w:right="1800" w:bottom="1440" w:left="1800" w:header="851" w:footer="992" w:gutter="0"/>
          <w:cols w:space="720"/>
          <w:docGrid w:type="lines" w:linePitch="312"/>
        </w:sectPr>
      </w:pPr>
    </w:p>
    <w:p w14:paraId="52749838"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43" w:name="_Toc360794404"/>
      <w:bookmarkStart w:id="44" w:name="_Toc360793846"/>
      <w:bookmarkStart w:id="45" w:name="_Toc14020"/>
      <w:bookmarkStart w:id="46" w:name="_Toc281"/>
      <w:bookmarkStart w:id="47" w:name="_Toc421532540"/>
      <w:bookmarkStart w:id="48" w:name="_Toc360794096"/>
      <w:bookmarkStart w:id="49" w:name="_Toc12479"/>
      <w:bookmarkStart w:id="50" w:name="_Toc362455179"/>
      <w:bookmarkStart w:id="51" w:name="_Toc2785"/>
      <w:bookmarkStart w:id="52" w:name="_Toc11203"/>
      <w:bookmarkStart w:id="53" w:name="_Toc405455119"/>
      <w:bookmarkStart w:id="54" w:name="_Toc362533451"/>
      <w:bookmarkStart w:id="55" w:name="_Toc360793494"/>
      <w:bookmarkStart w:id="56" w:name="_Toc360794512"/>
      <w:bookmarkStart w:id="57" w:name="_Toc204678781"/>
      <w:r>
        <w:rPr>
          <w:rFonts w:ascii="Cambria" w:hAnsi="Cambria" w:hint="eastAsia"/>
          <w:sz w:val="32"/>
          <w:szCs w:val="32"/>
        </w:rPr>
        <w:lastRenderedPageBreak/>
        <w:t>释义</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5E008B9C" w14:textId="77777777" w:rsidR="008A6127" w:rsidRDefault="00437D9F">
      <w:pPr>
        <w:snapToGrid w:val="0"/>
        <w:spacing w:line="360" w:lineRule="auto"/>
        <w:ind w:firstLineChars="200" w:firstLine="480"/>
        <w:rPr>
          <w:rFonts w:ascii="宋体" w:hAnsi="宋体"/>
          <w:sz w:val="24"/>
        </w:rPr>
      </w:pPr>
      <w:r>
        <w:rPr>
          <w:rFonts w:ascii="宋体" w:hAnsi="宋体"/>
          <w:sz w:val="24"/>
        </w:rPr>
        <w:t>在本</w:t>
      </w:r>
      <w:r>
        <w:rPr>
          <w:rFonts w:ascii="宋体" w:hAnsi="宋体" w:hint="eastAsia"/>
          <w:sz w:val="24"/>
        </w:rPr>
        <w:t>招募说明书</w:t>
      </w:r>
      <w:r>
        <w:rPr>
          <w:rFonts w:ascii="宋体" w:hAnsi="宋体"/>
          <w:sz w:val="24"/>
        </w:rPr>
        <w:t>中，除非文意另有所指，下列词语或简称具有如下含义：</w:t>
      </w:r>
    </w:p>
    <w:p w14:paraId="55F8D5C2" w14:textId="77777777" w:rsidR="008A6127" w:rsidRDefault="00437D9F">
      <w:pPr>
        <w:snapToGrid w:val="0"/>
        <w:spacing w:line="360" w:lineRule="auto"/>
        <w:ind w:firstLineChars="200" w:firstLine="480"/>
        <w:rPr>
          <w:rFonts w:ascii="宋体" w:hAnsi="宋体"/>
          <w:sz w:val="24"/>
        </w:rPr>
      </w:pPr>
      <w:bookmarkStart w:id="58" w:name="_Hlk1121023"/>
      <w:r>
        <w:rPr>
          <w:rFonts w:ascii="宋体" w:hAnsi="宋体"/>
          <w:sz w:val="24"/>
        </w:rPr>
        <w:t>1</w:t>
      </w:r>
      <w:r>
        <w:rPr>
          <w:rFonts w:ascii="宋体" w:hAnsi="宋体" w:hint="eastAsia"/>
          <w:sz w:val="24"/>
        </w:rPr>
        <w:t>、</w:t>
      </w:r>
      <w:r>
        <w:rPr>
          <w:rFonts w:ascii="宋体" w:hAnsi="宋体"/>
          <w:sz w:val="24"/>
        </w:rPr>
        <w:t>基金或本基金</w:t>
      </w:r>
      <w:r>
        <w:rPr>
          <w:rFonts w:ascii="宋体" w:hAnsi="宋体" w:hint="eastAsia"/>
          <w:sz w:val="24"/>
        </w:rPr>
        <w:t>：指朱雀产业</w:t>
      </w:r>
      <w:proofErr w:type="gramStart"/>
      <w:r>
        <w:rPr>
          <w:rFonts w:ascii="宋体" w:hAnsi="宋体" w:hint="eastAsia"/>
          <w:sz w:val="24"/>
        </w:rPr>
        <w:t>臻</w:t>
      </w:r>
      <w:proofErr w:type="gramEnd"/>
      <w:r>
        <w:rPr>
          <w:rFonts w:ascii="宋体" w:hAnsi="宋体" w:hint="eastAsia"/>
          <w:sz w:val="24"/>
        </w:rPr>
        <w:t>选混合型</w:t>
      </w:r>
      <w:r>
        <w:rPr>
          <w:rFonts w:ascii="宋体" w:hAnsi="宋体"/>
          <w:sz w:val="24"/>
        </w:rPr>
        <w:t>证券投资基金</w:t>
      </w:r>
    </w:p>
    <w:p w14:paraId="462D5781"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基金管理人</w:t>
      </w:r>
      <w:r>
        <w:rPr>
          <w:rFonts w:ascii="宋体" w:hAnsi="宋体" w:hint="eastAsia"/>
          <w:sz w:val="24"/>
        </w:rPr>
        <w:t>或本基金管理人</w:t>
      </w:r>
      <w:r>
        <w:rPr>
          <w:rFonts w:ascii="宋体" w:hAnsi="宋体"/>
          <w:sz w:val="24"/>
        </w:rPr>
        <w:t>：指</w:t>
      </w:r>
      <w:r>
        <w:rPr>
          <w:rFonts w:ascii="宋体" w:hAnsi="宋体" w:hint="eastAsia"/>
          <w:sz w:val="24"/>
        </w:rPr>
        <w:t>朱雀基金管理有限公司</w:t>
      </w:r>
      <w:r>
        <w:rPr>
          <w:rFonts w:ascii="宋体" w:hAnsi="宋体"/>
          <w:sz w:val="24"/>
        </w:rPr>
        <w:t xml:space="preserve"> </w:t>
      </w:r>
    </w:p>
    <w:p w14:paraId="5482DC82"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w:t>
      </w:r>
      <w:r>
        <w:rPr>
          <w:rFonts w:ascii="宋体" w:hAnsi="宋体"/>
          <w:sz w:val="24"/>
        </w:rPr>
        <w:t>基金托管人</w:t>
      </w:r>
      <w:r>
        <w:rPr>
          <w:rFonts w:ascii="宋体" w:hAnsi="宋体" w:hint="eastAsia"/>
          <w:sz w:val="24"/>
        </w:rPr>
        <w:t>或本基金托管人</w:t>
      </w:r>
      <w:r>
        <w:rPr>
          <w:rFonts w:ascii="宋体" w:hAnsi="宋体"/>
          <w:sz w:val="24"/>
        </w:rPr>
        <w:t>：指</w:t>
      </w:r>
      <w:r>
        <w:rPr>
          <w:rFonts w:ascii="宋体" w:hAnsi="宋体" w:hint="eastAsia"/>
          <w:sz w:val="24"/>
        </w:rPr>
        <w:t>招商银行股份有限公司</w:t>
      </w:r>
    </w:p>
    <w:p w14:paraId="3B524F9A"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w:t>
      </w:r>
      <w:r>
        <w:rPr>
          <w:rFonts w:ascii="宋体" w:hAnsi="宋体"/>
          <w:sz w:val="24"/>
        </w:rPr>
        <w:t>基金合同</w:t>
      </w:r>
      <w:r>
        <w:rPr>
          <w:rFonts w:ascii="宋体" w:hAnsi="宋体" w:hint="eastAsia"/>
          <w:sz w:val="24"/>
        </w:rPr>
        <w:t>、《</w:t>
      </w:r>
      <w:r>
        <w:rPr>
          <w:rFonts w:ascii="宋体" w:hAnsi="宋体"/>
          <w:sz w:val="24"/>
        </w:rPr>
        <w:t>基金合同</w:t>
      </w:r>
      <w:r>
        <w:rPr>
          <w:rFonts w:ascii="宋体" w:hAnsi="宋体" w:hint="eastAsia"/>
          <w:sz w:val="24"/>
        </w:rPr>
        <w:t>》</w:t>
      </w:r>
      <w:r>
        <w:rPr>
          <w:rFonts w:ascii="宋体" w:hAnsi="宋体"/>
          <w:sz w:val="24"/>
        </w:rPr>
        <w:t>：指</w:t>
      </w:r>
      <w:r>
        <w:rPr>
          <w:rFonts w:ascii="宋体" w:hAnsi="宋体" w:hint="eastAsia"/>
          <w:sz w:val="24"/>
        </w:rPr>
        <w:t>《朱雀产业臻选混合型证</w:t>
      </w:r>
      <w:r>
        <w:rPr>
          <w:rFonts w:ascii="宋体" w:hAnsi="宋体"/>
          <w:sz w:val="24"/>
        </w:rPr>
        <w:t>券投资基金基金合同》及对基金合同的任何有效修订和补充</w:t>
      </w:r>
    </w:p>
    <w:p w14:paraId="5FC4A1C2" w14:textId="77777777"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w:t>
      </w:r>
      <w:r>
        <w:rPr>
          <w:rFonts w:ascii="宋体" w:hAnsi="宋体"/>
          <w:sz w:val="24"/>
        </w:rPr>
        <w:t>托管协议：指基金管理人与基金托管人就本基金签订之</w:t>
      </w:r>
      <w:r>
        <w:rPr>
          <w:rFonts w:ascii="宋体" w:hAnsi="宋体" w:hint="eastAsia"/>
          <w:sz w:val="24"/>
        </w:rPr>
        <w:t>《朱雀产业臻选混合型证券投资基金托管协议》及对</w:t>
      </w:r>
      <w:r>
        <w:rPr>
          <w:rFonts w:ascii="宋体" w:hAnsi="宋体"/>
          <w:sz w:val="24"/>
        </w:rPr>
        <w:t>该托管协议的任何有效修订和补充</w:t>
      </w:r>
    </w:p>
    <w:p w14:paraId="157E6F03" w14:textId="77777777" w:rsidR="008A6127" w:rsidRDefault="00437D9F">
      <w:pPr>
        <w:snapToGrid w:val="0"/>
        <w:spacing w:line="360" w:lineRule="auto"/>
        <w:ind w:firstLineChars="200" w:firstLine="480"/>
        <w:rPr>
          <w:rFonts w:ascii="宋体" w:hAnsi="宋体"/>
          <w:sz w:val="24"/>
        </w:rPr>
      </w:pPr>
      <w:r>
        <w:rPr>
          <w:rFonts w:ascii="宋体" w:hAnsi="宋体"/>
          <w:sz w:val="24"/>
        </w:rPr>
        <w:t>6</w:t>
      </w:r>
      <w:r>
        <w:rPr>
          <w:rFonts w:ascii="宋体" w:hAnsi="宋体" w:hint="eastAsia"/>
          <w:sz w:val="24"/>
        </w:rPr>
        <w:t>、</w:t>
      </w:r>
      <w:r>
        <w:rPr>
          <w:rFonts w:ascii="宋体" w:hAnsi="宋体"/>
          <w:sz w:val="24"/>
        </w:rPr>
        <w:t>招募说明书</w:t>
      </w:r>
      <w:r>
        <w:rPr>
          <w:rFonts w:ascii="宋体" w:hAnsi="宋体" w:hint="eastAsia"/>
          <w:sz w:val="24"/>
        </w:rPr>
        <w:t>或《招募说明书》</w:t>
      </w:r>
      <w:r>
        <w:rPr>
          <w:rFonts w:ascii="宋体" w:hAnsi="宋体"/>
          <w:sz w:val="24"/>
        </w:rPr>
        <w:t>：指</w:t>
      </w:r>
      <w:r>
        <w:rPr>
          <w:rFonts w:ascii="宋体" w:hAnsi="宋体" w:hint="eastAsia"/>
          <w:sz w:val="24"/>
        </w:rPr>
        <w:t>《朱雀产业臻选混合型证券投资基</w:t>
      </w:r>
      <w:r>
        <w:rPr>
          <w:rFonts w:ascii="宋体" w:hAnsi="宋体"/>
          <w:sz w:val="24"/>
        </w:rPr>
        <w:t>金招募说明书》及其更新</w:t>
      </w:r>
    </w:p>
    <w:p w14:paraId="2E75904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7、基金产品资料概要：指《朱雀产业臻选混合型证券投资基</w:t>
      </w:r>
      <w:r>
        <w:rPr>
          <w:rFonts w:ascii="宋体" w:hAnsi="宋体"/>
          <w:sz w:val="24"/>
        </w:rPr>
        <w:t>金</w:t>
      </w:r>
      <w:r>
        <w:rPr>
          <w:rFonts w:ascii="宋体" w:hAnsi="宋体" w:hint="eastAsia"/>
          <w:sz w:val="24"/>
        </w:rPr>
        <w:t>基金产品资料概要》及其更新</w:t>
      </w:r>
    </w:p>
    <w:p w14:paraId="6F2C7A29" w14:textId="77777777" w:rsidR="008A6127" w:rsidRDefault="00437D9F">
      <w:pPr>
        <w:snapToGrid w:val="0"/>
        <w:spacing w:line="360" w:lineRule="auto"/>
        <w:ind w:firstLineChars="200" w:firstLine="480"/>
        <w:rPr>
          <w:rFonts w:ascii="宋体" w:hAnsi="宋体"/>
          <w:sz w:val="24"/>
        </w:rPr>
      </w:pPr>
      <w:r>
        <w:rPr>
          <w:rFonts w:ascii="宋体" w:hAnsi="宋体"/>
          <w:sz w:val="24"/>
        </w:rPr>
        <w:t>8</w:t>
      </w:r>
      <w:r>
        <w:rPr>
          <w:rFonts w:ascii="宋体" w:hAnsi="宋体" w:hint="eastAsia"/>
          <w:sz w:val="24"/>
        </w:rPr>
        <w:t>、</w:t>
      </w:r>
      <w:r>
        <w:rPr>
          <w:rFonts w:ascii="宋体" w:hAnsi="宋体"/>
          <w:sz w:val="24"/>
        </w:rPr>
        <w:t>基金份额发售公告</w:t>
      </w:r>
      <w:r>
        <w:rPr>
          <w:rFonts w:ascii="宋体" w:hAnsi="宋体" w:hint="eastAsia"/>
          <w:sz w:val="24"/>
        </w:rPr>
        <w:t>：指《朱雀产业臻选混合型证券投资基金</w:t>
      </w:r>
      <w:r>
        <w:rPr>
          <w:rFonts w:ascii="宋体" w:hAnsi="宋体"/>
          <w:sz w:val="24"/>
        </w:rPr>
        <w:t>基金份额发售公告》</w:t>
      </w:r>
    </w:p>
    <w:p w14:paraId="18576198" w14:textId="77777777" w:rsidR="008A6127" w:rsidRDefault="00437D9F">
      <w:pPr>
        <w:snapToGrid w:val="0"/>
        <w:spacing w:line="360" w:lineRule="auto"/>
        <w:ind w:firstLineChars="200" w:firstLine="480"/>
        <w:rPr>
          <w:rFonts w:ascii="宋体" w:hAnsi="宋体"/>
          <w:sz w:val="24"/>
        </w:rPr>
      </w:pPr>
      <w:r>
        <w:rPr>
          <w:rFonts w:ascii="宋体" w:hAnsi="宋体"/>
          <w:sz w:val="24"/>
        </w:rPr>
        <w:t>9</w:t>
      </w:r>
      <w:r>
        <w:rPr>
          <w:rFonts w:ascii="宋体" w:hAnsi="宋体" w:hint="eastAsia"/>
          <w:sz w:val="24"/>
        </w:rPr>
        <w:t>、</w:t>
      </w:r>
      <w:r>
        <w:rPr>
          <w:rFonts w:ascii="宋体" w:hAnsi="宋体"/>
          <w:sz w:val="24"/>
        </w:rPr>
        <w:t>法律法规：指中国现行有效并公布实施的法律、行政法规、规范性文件、司法解释、行政规章以及其他对基金合同当事人有约束力的决定、决议、通知等</w:t>
      </w:r>
      <w:r>
        <w:rPr>
          <w:rFonts w:ascii="宋体" w:hAnsi="宋体" w:hint="eastAsia"/>
          <w:sz w:val="24"/>
        </w:rPr>
        <w:t>以及</w:t>
      </w:r>
      <w:r>
        <w:rPr>
          <w:rFonts w:ascii="宋体" w:hAnsi="宋体"/>
          <w:sz w:val="24"/>
        </w:rPr>
        <w:t>颁布机关对其不时做出的修订</w:t>
      </w:r>
    </w:p>
    <w:p w14:paraId="6B47D0DE" w14:textId="77777777" w:rsidR="008A6127" w:rsidRDefault="00437D9F">
      <w:pPr>
        <w:snapToGrid w:val="0"/>
        <w:spacing w:line="360" w:lineRule="auto"/>
        <w:ind w:firstLineChars="200" w:firstLine="480"/>
        <w:rPr>
          <w:rFonts w:ascii="宋体" w:hAnsi="宋体"/>
          <w:sz w:val="24"/>
        </w:rPr>
      </w:pPr>
      <w:r>
        <w:rPr>
          <w:rFonts w:ascii="宋体" w:hAnsi="宋体"/>
          <w:sz w:val="24"/>
        </w:rPr>
        <w:t>10</w:t>
      </w:r>
      <w:r>
        <w:rPr>
          <w:rFonts w:ascii="宋体" w:hAnsi="宋体" w:hint="eastAsia"/>
          <w:sz w:val="24"/>
        </w:rPr>
        <w:t>、</w:t>
      </w:r>
      <w:r>
        <w:rPr>
          <w:rFonts w:ascii="宋体" w:hAnsi="宋体"/>
          <w:sz w:val="24"/>
        </w:rPr>
        <w:t>《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w:t>
      </w:r>
      <w:r>
        <w:rPr>
          <w:rFonts w:ascii="宋体" w:hAnsi="宋体" w:hint="eastAsia"/>
          <w:sz w:val="24"/>
        </w:rPr>
        <w:t>正</w:t>
      </w:r>
      <w:r>
        <w:rPr>
          <w:rFonts w:ascii="宋体" w:hAnsi="宋体"/>
          <w:sz w:val="24"/>
        </w:rPr>
        <w:t>的《中华人民共和国证券投资基金法》及颁布机关对其不时做出的修订</w:t>
      </w:r>
    </w:p>
    <w:p w14:paraId="3D24CDE2" w14:textId="77777777" w:rsidR="008A6127" w:rsidRDefault="00437D9F">
      <w:pPr>
        <w:snapToGrid w:val="0"/>
        <w:spacing w:line="360" w:lineRule="auto"/>
        <w:ind w:firstLineChars="200" w:firstLine="480"/>
        <w:rPr>
          <w:rFonts w:ascii="宋体" w:hAnsi="宋体"/>
          <w:sz w:val="24"/>
        </w:rPr>
      </w:pPr>
      <w:r>
        <w:rPr>
          <w:rFonts w:ascii="宋体" w:hAnsi="宋体"/>
          <w:sz w:val="24"/>
        </w:rPr>
        <w:t>11</w:t>
      </w:r>
      <w:r>
        <w:rPr>
          <w:rFonts w:ascii="宋体" w:hAnsi="宋体" w:hint="eastAsia"/>
          <w:sz w:val="24"/>
        </w:rPr>
        <w:t>、</w:t>
      </w:r>
      <w:r>
        <w:rPr>
          <w:rFonts w:ascii="宋体" w:hAnsi="宋体"/>
          <w:sz w:val="24"/>
        </w:rPr>
        <w:t>《销售办法》：</w:t>
      </w:r>
      <w:r>
        <w:rPr>
          <w:rFonts w:ascii="宋体" w:hAnsi="宋体" w:hint="eastAsia"/>
          <w:sz w:val="24"/>
        </w:rPr>
        <w:t>指中国证监会2020年8月28日颁布、同年10月1日实施的《公开募集证券投资基金销售机构监督管理办法》及颁布机关对其不时做出的修订</w:t>
      </w:r>
    </w:p>
    <w:p w14:paraId="47FB2D0B" w14:textId="77777777" w:rsidR="008A6127" w:rsidRDefault="00437D9F">
      <w:pPr>
        <w:snapToGrid w:val="0"/>
        <w:spacing w:line="360" w:lineRule="auto"/>
        <w:ind w:firstLineChars="200" w:firstLine="480"/>
        <w:rPr>
          <w:rFonts w:ascii="宋体" w:hAnsi="宋体"/>
          <w:sz w:val="24"/>
        </w:rPr>
      </w:pPr>
      <w:r>
        <w:rPr>
          <w:rFonts w:ascii="宋体" w:hAnsi="宋体"/>
          <w:sz w:val="24"/>
        </w:rPr>
        <w:t>12</w:t>
      </w:r>
      <w:r>
        <w:rPr>
          <w:rFonts w:ascii="宋体" w:hAnsi="宋体" w:hint="eastAsia"/>
          <w:sz w:val="24"/>
        </w:rPr>
        <w:t>、</w:t>
      </w:r>
      <w:r>
        <w:rPr>
          <w:rFonts w:ascii="宋体" w:hAnsi="宋体"/>
          <w:sz w:val="24"/>
        </w:rPr>
        <w:t>《信息披露办法》：</w:t>
      </w:r>
      <w:r>
        <w:rPr>
          <w:rFonts w:ascii="宋体" w:hAnsi="宋体" w:hint="eastAsia"/>
          <w:sz w:val="24"/>
        </w:rPr>
        <w:t>指中国证监会2019年7月26日颁布、同年9月1</w:t>
      </w:r>
      <w:r>
        <w:rPr>
          <w:rFonts w:ascii="宋体" w:hAnsi="宋体" w:hint="eastAsia"/>
          <w:sz w:val="24"/>
        </w:rPr>
        <w:lastRenderedPageBreak/>
        <w:t>日实施的，并经2020年3月20日中国证监会《关于修改部分证券期货规章的决定》修正的《公开募集证券投资基金信息披露管理办法》及颁布机关对其不时做出的修订</w:t>
      </w:r>
    </w:p>
    <w:p w14:paraId="09FBE5F4" w14:textId="77777777" w:rsidR="008A6127" w:rsidRDefault="00437D9F">
      <w:pPr>
        <w:snapToGrid w:val="0"/>
        <w:spacing w:line="360" w:lineRule="auto"/>
        <w:ind w:firstLineChars="200" w:firstLine="480"/>
        <w:rPr>
          <w:rFonts w:ascii="宋体" w:hAnsi="宋体"/>
          <w:sz w:val="24"/>
        </w:rPr>
      </w:pPr>
      <w:r>
        <w:rPr>
          <w:rFonts w:ascii="宋体" w:hAnsi="宋体"/>
          <w:sz w:val="24"/>
        </w:rPr>
        <w:t>13</w:t>
      </w:r>
      <w:r>
        <w:rPr>
          <w:rFonts w:ascii="宋体" w:hAnsi="宋体" w:hint="eastAsia"/>
          <w:sz w:val="24"/>
        </w:rPr>
        <w:t>、</w:t>
      </w:r>
      <w:r>
        <w:rPr>
          <w:rFonts w:ascii="宋体" w:hAnsi="宋体"/>
          <w:sz w:val="24"/>
        </w:rPr>
        <w:t>《运作办法》：指中国证监会20</w:t>
      </w:r>
      <w:r>
        <w:rPr>
          <w:rFonts w:ascii="宋体" w:hAnsi="宋体" w:hint="eastAsia"/>
          <w:sz w:val="24"/>
        </w:rPr>
        <w:t>14</w:t>
      </w:r>
      <w:r>
        <w:rPr>
          <w:rFonts w:ascii="宋体" w:hAnsi="宋体"/>
          <w:sz w:val="24"/>
        </w:rPr>
        <w:t>年</w:t>
      </w:r>
      <w:r>
        <w:rPr>
          <w:rFonts w:ascii="宋体" w:hAnsi="宋体" w:hint="eastAsia"/>
          <w:sz w:val="24"/>
        </w:rPr>
        <w:t>7</w:t>
      </w:r>
      <w:r>
        <w:rPr>
          <w:rFonts w:ascii="宋体" w:hAnsi="宋体"/>
          <w:sz w:val="24"/>
        </w:rPr>
        <w:t>月</w:t>
      </w:r>
      <w:r>
        <w:rPr>
          <w:rFonts w:ascii="宋体" w:hAnsi="宋体" w:hint="eastAsia"/>
          <w:sz w:val="24"/>
        </w:rPr>
        <w:t>7</w:t>
      </w:r>
      <w:r>
        <w:rPr>
          <w:rFonts w:ascii="宋体" w:hAnsi="宋体"/>
          <w:sz w:val="24"/>
        </w:rPr>
        <w:t>日颁布、同年</w:t>
      </w:r>
      <w:r>
        <w:rPr>
          <w:rFonts w:ascii="宋体" w:hAnsi="宋体" w:hint="eastAsia"/>
          <w:sz w:val="24"/>
        </w:rPr>
        <w:t>8</w:t>
      </w:r>
      <w:r>
        <w:rPr>
          <w:rFonts w:ascii="宋体" w:hAnsi="宋体"/>
          <w:sz w:val="24"/>
        </w:rPr>
        <w:t>月</w:t>
      </w:r>
      <w:r>
        <w:rPr>
          <w:rFonts w:ascii="宋体" w:hAnsi="宋体" w:hint="eastAsia"/>
          <w:sz w:val="24"/>
        </w:rPr>
        <w:t>8</w:t>
      </w:r>
      <w:r>
        <w:rPr>
          <w:rFonts w:ascii="宋体" w:hAnsi="宋体"/>
          <w:sz w:val="24"/>
        </w:rPr>
        <w:t>日实施的《</w:t>
      </w:r>
      <w:r>
        <w:rPr>
          <w:rFonts w:ascii="宋体" w:hAnsi="宋体" w:hint="eastAsia"/>
          <w:sz w:val="24"/>
        </w:rPr>
        <w:t>公开募集</w:t>
      </w:r>
      <w:r>
        <w:rPr>
          <w:rFonts w:ascii="宋体" w:hAnsi="宋体"/>
          <w:sz w:val="24"/>
        </w:rPr>
        <w:t>证券投资基金运作管理办法》及颁布机关对其不时做出的修订</w:t>
      </w:r>
    </w:p>
    <w:p w14:paraId="1FB164C9" w14:textId="77777777" w:rsidR="008A6127" w:rsidRDefault="00437D9F">
      <w:pPr>
        <w:snapToGrid w:val="0"/>
        <w:spacing w:line="360" w:lineRule="auto"/>
        <w:ind w:firstLineChars="200" w:firstLine="480"/>
        <w:rPr>
          <w:rFonts w:ascii="宋体" w:hAnsi="宋体"/>
          <w:sz w:val="24"/>
        </w:rPr>
      </w:pPr>
      <w:r>
        <w:rPr>
          <w:rFonts w:ascii="宋体" w:hAnsi="宋体"/>
          <w:sz w:val="24"/>
        </w:rPr>
        <w:t>14、《流动性</w:t>
      </w:r>
      <w:r>
        <w:rPr>
          <w:rFonts w:ascii="宋体" w:hAnsi="宋体" w:hint="eastAsia"/>
          <w:sz w:val="24"/>
        </w:rPr>
        <w:t>风险管理</w:t>
      </w:r>
      <w:r>
        <w:rPr>
          <w:rFonts w:ascii="宋体" w:hAnsi="宋体"/>
          <w:sz w:val="24"/>
        </w:rPr>
        <w:t>规定》：指中国证监会2017年8月31日颁布、同年10月1日实施的《公开募集开放式证券投资基金流动性风险管理规定》及颁布机关对其不时做出的修订</w:t>
      </w:r>
    </w:p>
    <w:p w14:paraId="73742DC3" w14:textId="77777777" w:rsidR="008A6127" w:rsidRDefault="00437D9F">
      <w:pPr>
        <w:snapToGrid w:val="0"/>
        <w:spacing w:line="360" w:lineRule="auto"/>
        <w:ind w:firstLineChars="200" w:firstLine="480"/>
        <w:rPr>
          <w:rFonts w:ascii="宋体" w:hAnsi="宋体"/>
          <w:sz w:val="24"/>
        </w:rPr>
      </w:pPr>
      <w:r>
        <w:rPr>
          <w:rFonts w:ascii="宋体" w:hAnsi="宋体"/>
          <w:sz w:val="24"/>
        </w:rPr>
        <w:t>15</w:t>
      </w:r>
      <w:r>
        <w:rPr>
          <w:rFonts w:ascii="宋体" w:hAnsi="宋体" w:hint="eastAsia"/>
          <w:sz w:val="24"/>
        </w:rPr>
        <w:t>、港股通：指内地投资者委托内地证券公司，经由内地证券交易所设立的证券交易服务公司，向香港联合交易所进行申报，买卖规定范围内的香港联合交易所上市的股票</w:t>
      </w:r>
    </w:p>
    <w:p w14:paraId="4B0C7B43" w14:textId="77777777" w:rsidR="008A6127" w:rsidRDefault="00437D9F">
      <w:pPr>
        <w:snapToGrid w:val="0"/>
        <w:spacing w:line="360" w:lineRule="auto"/>
        <w:ind w:firstLineChars="200" w:firstLine="480"/>
        <w:rPr>
          <w:rFonts w:ascii="宋体" w:hAnsi="宋体"/>
          <w:sz w:val="24"/>
        </w:rPr>
      </w:pPr>
      <w:r>
        <w:rPr>
          <w:rFonts w:ascii="宋体" w:hAnsi="宋体"/>
          <w:sz w:val="24"/>
        </w:rPr>
        <w:t>16</w:t>
      </w:r>
      <w:r>
        <w:rPr>
          <w:rFonts w:ascii="宋体" w:hAnsi="宋体" w:hint="eastAsia"/>
          <w:sz w:val="24"/>
        </w:rPr>
        <w:t>、</w:t>
      </w:r>
      <w:r>
        <w:rPr>
          <w:rFonts w:ascii="宋体" w:hAnsi="宋体"/>
          <w:sz w:val="24"/>
        </w:rPr>
        <w:t>中国证监会：指中国证券监督管理委员会</w:t>
      </w:r>
    </w:p>
    <w:p w14:paraId="38E1A90F" w14:textId="218E9FC2" w:rsidR="008A6127" w:rsidRDefault="00437D9F">
      <w:pPr>
        <w:snapToGrid w:val="0"/>
        <w:spacing w:line="360" w:lineRule="auto"/>
        <w:ind w:firstLineChars="200" w:firstLine="480"/>
        <w:rPr>
          <w:rFonts w:ascii="宋体" w:hAnsi="宋体"/>
          <w:sz w:val="24"/>
        </w:rPr>
      </w:pPr>
      <w:r>
        <w:rPr>
          <w:rFonts w:ascii="宋体" w:hAnsi="宋体"/>
          <w:sz w:val="24"/>
        </w:rPr>
        <w:t>17</w:t>
      </w:r>
      <w:r>
        <w:rPr>
          <w:rFonts w:ascii="宋体" w:hAnsi="宋体" w:hint="eastAsia"/>
          <w:sz w:val="24"/>
        </w:rPr>
        <w:t>、</w:t>
      </w:r>
      <w:r>
        <w:rPr>
          <w:rFonts w:ascii="宋体" w:hAnsi="宋体"/>
          <w:sz w:val="24"/>
        </w:rPr>
        <w:t>银行业监督管理机构：指中国人民银行</w:t>
      </w:r>
      <w:r>
        <w:rPr>
          <w:rFonts w:ascii="宋体" w:hAnsi="宋体" w:hint="eastAsia"/>
          <w:sz w:val="24"/>
        </w:rPr>
        <w:t>及/或国家金融监督管理总局</w:t>
      </w:r>
    </w:p>
    <w:p w14:paraId="441F779F" w14:textId="77777777" w:rsidR="008A6127" w:rsidRDefault="00437D9F">
      <w:pPr>
        <w:snapToGrid w:val="0"/>
        <w:spacing w:line="360" w:lineRule="auto"/>
        <w:ind w:firstLineChars="200" w:firstLine="480"/>
        <w:rPr>
          <w:rFonts w:ascii="宋体" w:hAnsi="宋体"/>
          <w:sz w:val="24"/>
        </w:rPr>
      </w:pPr>
      <w:r>
        <w:rPr>
          <w:rFonts w:ascii="宋体" w:hAnsi="宋体"/>
          <w:sz w:val="24"/>
        </w:rPr>
        <w:t>18</w:t>
      </w:r>
      <w:r>
        <w:rPr>
          <w:rFonts w:ascii="宋体" w:hAnsi="宋体" w:hint="eastAsia"/>
          <w:sz w:val="24"/>
        </w:rPr>
        <w:t>、</w:t>
      </w:r>
      <w:r>
        <w:rPr>
          <w:rFonts w:ascii="宋体" w:hAnsi="宋体"/>
          <w:sz w:val="24"/>
        </w:rPr>
        <w:t>基金合同当事人：指受基金合同约束，根据基金合同享有权利并承担义务的法律主体，包括基金管理人、基金托管人和基金份额持有人</w:t>
      </w:r>
    </w:p>
    <w:p w14:paraId="063CDA12" w14:textId="77777777" w:rsidR="008A6127" w:rsidRDefault="00437D9F">
      <w:pPr>
        <w:snapToGrid w:val="0"/>
        <w:spacing w:line="360" w:lineRule="auto"/>
        <w:ind w:firstLineChars="200" w:firstLine="480"/>
        <w:rPr>
          <w:rFonts w:ascii="宋体" w:hAnsi="宋体"/>
          <w:sz w:val="24"/>
        </w:rPr>
      </w:pPr>
      <w:r>
        <w:rPr>
          <w:rFonts w:ascii="宋体" w:hAnsi="宋体"/>
          <w:sz w:val="24"/>
        </w:rPr>
        <w:t>19</w:t>
      </w:r>
      <w:r>
        <w:rPr>
          <w:rFonts w:ascii="宋体" w:hAnsi="宋体" w:hint="eastAsia"/>
          <w:sz w:val="24"/>
        </w:rPr>
        <w:t>、</w:t>
      </w:r>
      <w:r>
        <w:rPr>
          <w:rFonts w:ascii="宋体" w:hAnsi="宋体"/>
          <w:sz w:val="24"/>
        </w:rPr>
        <w:t>个人投资者：指依据有关法律法规规定可投资于证券投资基金的自然人</w:t>
      </w:r>
    </w:p>
    <w:p w14:paraId="678686B4" w14:textId="77777777" w:rsidR="008A6127" w:rsidRDefault="00437D9F">
      <w:pPr>
        <w:snapToGrid w:val="0"/>
        <w:spacing w:line="360" w:lineRule="auto"/>
        <w:ind w:firstLineChars="200" w:firstLine="480"/>
        <w:rPr>
          <w:rFonts w:ascii="宋体" w:hAnsi="宋体"/>
          <w:sz w:val="24"/>
        </w:rPr>
      </w:pPr>
      <w:r>
        <w:rPr>
          <w:rFonts w:ascii="宋体" w:hAnsi="宋体"/>
          <w:sz w:val="24"/>
        </w:rPr>
        <w:t>20</w:t>
      </w:r>
      <w:r>
        <w:rPr>
          <w:rFonts w:ascii="宋体" w:hAnsi="宋体" w:hint="eastAsia"/>
          <w:sz w:val="24"/>
        </w:rPr>
        <w:t>、</w:t>
      </w:r>
      <w:r>
        <w:rPr>
          <w:rFonts w:ascii="宋体" w:hAnsi="宋体"/>
          <w:sz w:val="24"/>
        </w:rPr>
        <w:t>机构投资者：指依法可以投资证券投资基金的、在中华人民共和国境内合法登记并存续或经有关政府部门批准设立并存续的企业法人、事业法人、社会团体或其他组织</w:t>
      </w:r>
    </w:p>
    <w:p w14:paraId="2EEAA100" w14:textId="77777777" w:rsidR="008A6127" w:rsidRDefault="00437D9F">
      <w:pPr>
        <w:snapToGrid w:val="0"/>
        <w:spacing w:line="360" w:lineRule="auto"/>
        <w:ind w:firstLineChars="200" w:firstLine="480"/>
        <w:rPr>
          <w:rFonts w:ascii="宋体" w:hAnsi="宋体"/>
          <w:sz w:val="24"/>
        </w:rPr>
      </w:pPr>
      <w:r>
        <w:rPr>
          <w:rFonts w:ascii="宋体" w:hAnsi="宋体"/>
          <w:sz w:val="24"/>
        </w:rPr>
        <w:t>21</w:t>
      </w:r>
      <w:r>
        <w:rPr>
          <w:rFonts w:ascii="宋体" w:hAnsi="宋体" w:hint="eastAsia"/>
          <w:sz w:val="24"/>
        </w:rPr>
        <w:t>、合格境外机构投资者：指符合《合格境外机构投资者境内证券投资管理办法》及相关法律法规规定可以投资于在中国境内依法募集的证券投资基金的中国境外的机构投资者</w:t>
      </w:r>
    </w:p>
    <w:p w14:paraId="7A2F4F45" w14:textId="77777777" w:rsidR="008A6127" w:rsidRDefault="00437D9F">
      <w:pPr>
        <w:snapToGrid w:val="0"/>
        <w:spacing w:line="360" w:lineRule="auto"/>
        <w:ind w:firstLineChars="200" w:firstLine="480"/>
        <w:rPr>
          <w:rFonts w:ascii="宋体" w:hAnsi="宋体"/>
          <w:sz w:val="24"/>
        </w:rPr>
      </w:pPr>
      <w:r>
        <w:rPr>
          <w:rFonts w:ascii="宋体" w:hAnsi="宋体"/>
          <w:sz w:val="24"/>
        </w:rPr>
        <w:t>22</w:t>
      </w:r>
      <w:r>
        <w:rPr>
          <w:rFonts w:ascii="宋体" w:hAnsi="宋体" w:hint="eastAsia"/>
          <w:sz w:val="24"/>
        </w:rPr>
        <w:t>、人民币合格境外机构投资者：指按照《人民币合格境外机构投资者境内证券投资试点办法》及相关法律法规规定，运用来自境外的人民币资金进行境内证券投资的境外法人</w:t>
      </w:r>
    </w:p>
    <w:p w14:paraId="0400F4D8" w14:textId="77777777" w:rsidR="008A6127" w:rsidRDefault="00437D9F">
      <w:pPr>
        <w:snapToGrid w:val="0"/>
        <w:spacing w:line="360" w:lineRule="auto"/>
        <w:ind w:firstLineChars="200" w:firstLine="480"/>
        <w:rPr>
          <w:rFonts w:ascii="宋体" w:hAnsi="宋体"/>
          <w:sz w:val="24"/>
        </w:rPr>
      </w:pPr>
      <w:r>
        <w:rPr>
          <w:rFonts w:ascii="宋体" w:hAnsi="宋体"/>
          <w:sz w:val="24"/>
        </w:rPr>
        <w:t>23</w:t>
      </w:r>
      <w:r>
        <w:rPr>
          <w:rFonts w:ascii="宋体" w:hAnsi="宋体" w:hint="eastAsia"/>
          <w:sz w:val="24"/>
        </w:rPr>
        <w:t>、</w:t>
      </w:r>
      <w:r>
        <w:rPr>
          <w:rFonts w:ascii="宋体" w:hAnsi="宋体"/>
          <w:sz w:val="24"/>
        </w:rPr>
        <w:t>投资人</w:t>
      </w:r>
      <w:r>
        <w:rPr>
          <w:rFonts w:ascii="宋体" w:hAnsi="宋体" w:hint="eastAsia"/>
          <w:sz w:val="24"/>
        </w:rPr>
        <w:t>、投资者</w:t>
      </w:r>
      <w:r>
        <w:rPr>
          <w:rFonts w:ascii="宋体" w:hAnsi="宋体"/>
          <w:sz w:val="24"/>
        </w:rPr>
        <w:t>：指个人投资者、机构投资者</w:t>
      </w:r>
      <w:r>
        <w:rPr>
          <w:rFonts w:ascii="宋体" w:hAnsi="宋体" w:hint="eastAsia"/>
          <w:sz w:val="24"/>
        </w:rPr>
        <w:t>、</w:t>
      </w:r>
      <w:r>
        <w:rPr>
          <w:rFonts w:ascii="宋体" w:hAnsi="宋体"/>
          <w:sz w:val="24"/>
        </w:rPr>
        <w:t>合格境外机构投资者</w:t>
      </w:r>
      <w:r>
        <w:rPr>
          <w:rFonts w:ascii="宋体" w:hAnsi="宋体" w:hint="eastAsia"/>
          <w:sz w:val="24"/>
        </w:rPr>
        <w:t>和人民币合格境外机构投资者</w:t>
      </w:r>
      <w:r>
        <w:rPr>
          <w:rFonts w:ascii="宋体" w:hAnsi="宋体"/>
          <w:sz w:val="24"/>
        </w:rPr>
        <w:t>以及法律法规或中国证监会允许购买证券投资基金的其他投资人的合称</w:t>
      </w:r>
    </w:p>
    <w:p w14:paraId="33BDAFCD" w14:textId="77777777" w:rsidR="008A6127" w:rsidRDefault="00437D9F">
      <w:pPr>
        <w:snapToGrid w:val="0"/>
        <w:spacing w:line="360" w:lineRule="auto"/>
        <w:ind w:firstLineChars="200" w:firstLine="480"/>
        <w:rPr>
          <w:rFonts w:ascii="宋体" w:hAnsi="宋体"/>
          <w:sz w:val="24"/>
        </w:rPr>
      </w:pPr>
      <w:r>
        <w:rPr>
          <w:rFonts w:ascii="宋体" w:hAnsi="宋体"/>
          <w:sz w:val="24"/>
        </w:rPr>
        <w:t>24</w:t>
      </w:r>
      <w:r>
        <w:rPr>
          <w:rFonts w:ascii="宋体" w:hAnsi="宋体" w:hint="eastAsia"/>
          <w:sz w:val="24"/>
        </w:rPr>
        <w:t>、</w:t>
      </w:r>
      <w:r>
        <w:rPr>
          <w:rFonts w:ascii="宋体" w:hAnsi="宋体"/>
          <w:sz w:val="24"/>
        </w:rPr>
        <w:t>基金份额持有人：指依基金合同和招募说明书合法取得基金份额的投资人</w:t>
      </w:r>
    </w:p>
    <w:p w14:paraId="0F0E2132"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25</w:t>
      </w:r>
      <w:r>
        <w:rPr>
          <w:rFonts w:ascii="宋体" w:hAnsi="宋体" w:hint="eastAsia"/>
          <w:sz w:val="24"/>
        </w:rPr>
        <w:t>、</w:t>
      </w:r>
      <w:r>
        <w:rPr>
          <w:rFonts w:ascii="宋体" w:hAnsi="宋体"/>
          <w:sz w:val="24"/>
        </w:rPr>
        <w:t>基金销售业务：指基金管理人或销售机构宣传推介基金，发售基金份额，办理基金份额的申购、赎回、转换、</w:t>
      </w:r>
      <w:proofErr w:type="gramStart"/>
      <w:r>
        <w:rPr>
          <w:rFonts w:ascii="宋体" w:hAnsi="宋体"/>
          <w:sz w:val="24"/>
        </w:rPr>
        <w:t>非交易</w:t>
      </w:r>
      <w:proofErr w:type="gramEnd"/>
      <w:r>
        <w:rPr>
          <w:rFonts w:ascii="宋体" w:hAnsi="宋体"/>
          <w:sz w:val="24"/>
        </w:rPr>
        <w:t>过户、转托管及定期定额投资等业务</w:t>
      </w:r>
      <w:r>
        <w:rPr>
          <w:rFonts w:ascii="宋体" w:hAnsi="宋体" w:hint="eastAsia"/>
          <w:sz w:val="24"/>
        </w:rPr>
        <w:t>。</w:t>
      </w:r>
    </w:p>
    <w:p w14:paraId="2C1C26D9" w14:textId="77777777" w:rsidR="008A6127" w:rsidRDefault="00437D9F">
      <w:pPr>
        <w:snapToGrid w:val="0"/>
        <w:spacing w:line="360" w:lineRule="auto"/>
        <w:ind w:firstLineChars="200" w:firstLine="480"/>
        <w:rPr>
          <w:rFonts w:ascii="宋体" w:hAnsi="宋体"/>
          <w:sz w:val="24"/>
        </w:rPr>
      </w:pPr>
      <w:r>
        <w:rPr>
          <w:rFonts w:ascii="宋体" w:hAnsi="宋体"/>
          <w:sz w:val="24"/>
        </w:rPr>
        <w:t>26</w:t>
      </w:r>
      <w:r>
        <w:rPr>
          <w:rFonts w:ascii="宋体" w:hAnsi="宋体" w:hint="eastAsia"/>
          <w:sz w:val="24"/>
        </w:rPr>
        <w:t>、</w:t>
      </w:r>
      <w:r>
        <w:rPr>
          <w:rFonts w:ascii="宋体" w:hAnsi="宋体"/>
          <w:sz w:val="24"/>
        </w:rPr>
        <w:t>销售机构：指</w:t>
      </w:r>
      <w:r>
        <w:rPr>
          <w:rFonts w:ascii="宋体" w:hAnsi="宋体" w:hint="eastAsia"/>
          <w:sz w:val="24"/>
        </w:rPr>
        <w:t>朱雀</w:t>
      </w:r>
      <w:r>
        <w:rPr>
          <w:rFonts w:ascii="宋体" w:hAnsi="宋体"/>
          <w:sz w:val="24"/>
        </w:rPr>
        <w:t>基金</w:t>
      </w:r>
      <w:r>
        <w:rPr>
          <w:rFonts w:ascii="宋体" w:hAnsi="宋体" w:hint="eastAsia"/>
          <w:sz w:val="24"/>
        </w:rPr>
        <w:t>管理有限</w:t>
      </w:r>
      <w:r>
        <w:rPr>
          <w:rFonts w:ascii="宋体" w:hAnsi="宋体"/>
          <w:sz w:val="24"/>
        </w:rPr>
        <w:t>公司以及符合《销售办法》和中国证监会规定的其他条件，取得基金</w:t>
      </w:r>
      <w:r>
        <w:rPr>
          <w:rFonts w:ascii="宋体" w:hAnsi="宋体" w:hint="eastAsia"/>
          <w:sz w:val="24"/>
        </w:rPr>
        <w:t>销售</w:t>
      </w:r>
      <w:r>
        <w:rPr>
          <w:rFonts w:ascii="宋体" w:hAnsi="宋体"/>
          <w:sz w:val="24"/>
        </w:rPr>
        <w:t>业务资格并与基金管理人签订了基金销售服务协议，办理基金销售业务的机构</w:t>
      </w:r>
    </w:p>
    <w:p w14:paraId="4F0B28B3" w14:textId="77777777" w:rsidR="008A6127" w:rsidRDefault="00437D9F">
      <w:pPr>
        <w:snapToGrid w:val="0"/>
        <w:spacing w:line="360" w:lineRule="auto"/>
        <w:ind w:firstLineChars="200" w:firstLine="480"/>
        <w:rPr>
          <w:rFonts w:ascii="宋体" w:hAnsi="宋体"/>
          <w:sz w:val="24"/>
        </w:rPr>
      </w:pPr>
      <w:r>
        <w:rPr>
          <w:rFonts w:ascii="宋体" w:hAnsi="宋体"/>
          <w:sz w:val="24"/>
        </w:rPr>
        <w:t>27</w:t>
      </w:r>
      <w:r>
        <w:rPr>
          <w:rFonts w:ascii="宋体" w:hAnsi="宋体" w:hint="eastAsia"/>
          <w:sz w:val="24"/>
        </w:rPr>
        <w:t>、</w:t>
      </w:r>
      <w:r>
        <w:rPr>
          <w:rFonts w:ascii="宋体" w:hAnsi="宋体"/>
          <w:sz w:val="24"/>
        </w:rPr>
        <w:t>登记业务：指基金登记、存管、</w:t>
      </w:r>
      <w:r>
        <w:rPr>
          <w:rFonts w:ascii="宋体" w:hAnsi="宋体" w:hint="eastAsia"/>
          <w:sz w:val="24"/>
        </w:rPr>
        <w:t>过户、</w:t>
      </w:r>
      <w:r>
        <w:rPr>
          <w:rFonts w:ascii="宋体" w:hAnsi="宋体"/>
          <w:sz w:val="24"/>
        </w:rPr>
        <w:t>清算和结算业务，具体内容包括投资人基金账户的建立和管理、基金份额登记、基金销售业务的确认、清算和结算、代理发放红利、建立并保管基金份额持有人名册</w:t>
      </w:r>
      <w:r>
        <w:rPr>
          <w:rFonts w:ascii="宋体" w:hAnsi="宋体" w:hint="eastAsia"/>
          <w:sz w:val="24"/>
        </w:rPr>
        <w:t>和办理</w:t>
      </w:r>
      <w:proofErr w:type="gramStart"/>
      <w:r>
        <w:rPr>
          <w:rFonts w:ascii="宋体" w:hAnsi="宋体" w:hint="eastAsia"/>
          <w:sz w:val="24"/>
        </w:rPr>
        <w:t>非交易</w:t>
      </w:r>
      <w:proofErr w:type="gramEnd"/>
      <w:r>
        <w:rPr>
          <w:rFonts w:ascii="宋体" w:hAnsi="宋体" w:hint="eastAsia"/>
          <w:sz w:val="24"/>
        </w:rPr>
        <w:t>过户</w:t>
      </w:r>
      <w:r>
        <w:rPr>
          <w:rFonts w:ascii="宋体" w:hAnsi="宋体"/>
          <w:sz w:val="24"/>
        </w:rPr>
        <w:t>等</w:t>
      </w:r>
    </w:p>
    <w:p w14:paraId="7A253B02" w14:textId="77777777" w:rsidR="008A6127" w:rsidRDefault="00437D9F">
      <w:pPr>
        <w:snapToGrid w:val="0"/>
        <w:spacing w:line="360" w:lineRule="auto"/>
        <w:ind w:firstLineChars="200" w:firstLine="480"/>
        <w:rPr>
          <w:rFonts w:ascii="宋体" w:hAnsi="宋体"/>
          <w:sz w:val="24"/>
        </w:rPr>
      </w:pPr>
      <w:r>
        <w:rPr>
          <w:rFonts w:ascii="宋体" w:hAnsi="宋体"/>
          <w:sz w:val="24"/>
        </w:rPr>
        <w:t>28</w:t>
      </w:r>
      <w:r>
        <w:rPr>
          <w:rFonts w:ascii="宋体" w:hAnsi="宋体" w:hint="eastAsia"/>
          <w:sz w:val="24"/>
        </w:rPr>
        <w:t>、</w:t>
      </w:r>
      <w:r>
        <w:rPr>
          <w:rFonts w:ascii="宋体" w:hAnsi="宋体"/>
          <w:sz w:val="24"/>
        </w:rPr>
        <w:t>登记机构：</w:t>
      </w:r>
      <w:proofErr w:type="gramStart"/>
      <w:r>
        <w:rPr>
          <w:rFonts w:ascii="宋体" w:hAnsi="宋体"/>
          <w:sz w:val="24"/>
        </w:rPr>
        <w:t>指办理</w:t>
      </w:r>
      <w:proofErr w:type="gramEnd"/>
      <w:r>
        <w:rPr>
          <w:rFonts w:ascii="宋体" w:hAnsi="宋体"/>
          <w:sz w:val="24"/>
        </w:rPr>
        <w:t>登记业务的机构。基金的登记机构为</w:t>
      </w:r>
      <w:r>
        <w:rPr>
          <w:rFonts w:ascii="宋体" w:hAnsi="宋体" w:hint="eastAsia"/>
          <w:sz w:val="24"/>
        </w:rPr>
        <w:t>朱雀基金管理有限公司</w:t>
      </w:r>
      <w:r>
        <w:rPr>
          <w:rFonts w:ascii="宋体" w:hAnsi="宋体"/>
          <w:sz w:val="24"/>
        </w:rPr>
        <w:t>或接受</w:t>
      </w:r>
      <w:r>
        <w:rPr>
          <w:rFonts w:ascii="宋体" w:hAnsi="宋体" w:hint="eastAsia"/>
          <w:sz w:val="24"/>
        </w:rPr>
        <w:t>朱雀基金管理有限公司</w:t>
      </w:r>
      <w:r>
        <w:rPr>
          <w:rFonts w:ascii="宋体" w:hAnsi="宋体"/>
          <w:sz w:val="24"/>
        </w:rPr>
        <w:t>委托代为办理登记业务的机构</w:t>
      </w:r>
    </w:p>
    <w:p w14:paraId="0155AFB8" w14:textId="77777777" w:rsidR="008A6127" w:rsidRDefault="00437D9F">
      <w:pPr>
        <w:snapToGrid w:val="0"/>
        <w:spacing w:line="360" w:lineRule="auto"/>
        <w:ind w:firstLineChars="200" w:firstLine="480"/>
        <w:rPr>
          <w:rFonts w:ascii="宋体" w:hAnsi="宋体"/>
          <w:sz w:val="24"/>
        </w:rPr>
      </w:pPr>
      <w:r>
        <w:rPr>
          <w:rFonts w:ascii="宋体" w:hAnsi="宋体"/>
          <w:sz w:val="24"/>
        </w:rPr>
        <w:t>29</w:t>
      </w:r>
      <w:r>
        <w:rPr>
          <w:rFonts w:ascii="宋体" w:hAnsi="宋体" w:hint="eastAsia"/>
          <w:sz w:val="24"/>
        </w:rPr>
        <w:t>、</w:t>
      </w:r>
      <w:r>
        <w:rPr>
          <w:rFonts w:ascii="宋体" w:hAnsi="宋体"/>
          <w:sz w:val="24"/>
        </w:rPr>
        <w:t>基金账户：指登记机构为投资人开立的、记录其持有的、基金管理人所管理的基金份额余额及其变动情况的账户</w:t>
      </w:r>
    </w:p>
    <w:p w14:paraId="4F42E036" w14:textId="77777777" w:rsidR="008A6127" w:rsidRDefault="00437D9F">
      <w:pPr>
        <w:snapToGrid w:val="0"/>
        <w:spacing w:line="360" w:lineRule="auto"/>
        <w:ind w:firstLineChars="200" w:firstLine="480"/>
        <w:rPr>
          <w:rFonts w:ascii="宋体" w:hAnsi="宋体"/>
          <w:sz w:val="24"/>
        </w:rPr>
      </w:pPr>
      <w:r>
        <w:rPr>
          <w:rFonts w:ascii="宋体" w:hAnsi="宋体"/>
          <w:sz w:val="24"/>
        </w:rPr>
        <w:t>30</w:t>
      </w:r>
      <w:r>
        <w:rPr>
          <w:rFonts w:ascii="宋体" w:hAnsi="宋体" w:hint="eastAsia"/>
          <w:sz w:val="24"/>
        </w:rPr>
        <w:t>、</w:t>
      </w:r>
      <w:r>
        <w:rPr>
          <w:rFonts w:ascii="宋体" w:hAnsi="宋体"/>
          <w:sz w:val="24"/>
        </w:rPr>
        <w:t>基金交易账户：指销售机构为投资人开立的、记录投资人通过该销售机构办理认购、申购、赎回</w:t>
      </w:r>
      <w:r>
        <w:rPr>
          <w:rFonts w:ascii="宋体" w:hAnsi="宋体" w:hint="eastAsia"/>
          <w:sz w:val="24"/>
        </w:rPr>
        <w:t>、转换、转托管及定期定额投资</w:t>
      </w:r>
      <w:r>
        <w:rPr>
          <w:rFonts w:ascii="宋体" w:hAnsi="宋体"/>
          <w:sz w:val="24"/>
        </w:rPr>
        <w:t>等业务而引起的基金份额变动及结余情况的账户</w:t>
      </w:r>
    </w:p>
    <w:p w14:paraId="53A06490" w14:textId="77777777" w:rsidR="008A6127" w:rsidRDefault="00437D9F">
      <w:pPr>
        <w:snapToGrid w:val="0"/>
        <w:spacing w:line="360" w:lineRule="auto"/>
        <w:ind w:firstLineChars="200" w:firstLine="480"/>
        <w:rPr>
          <w:rFonts w:ascii="宋体" w:hAnsi="宋体"/>
          <w:sz w:val="24"/>
        </w:rPr>
      </w:pPr>
      <w:r>
        <w:rPr>
          <w:rFonts w:ascii="宋体" w:hAnsi="宋体"/>
          <w:sz w:val="24"/>
        </w:rPr>
        <w:t>31</w:t>
      </w:r>
      <w:r>
        <w:rPr>
          <w:rFonts w:ascii="宋体" w:hAnsi="宋体" w:hint="eastAsia"/>
          <w:sz w:val="24"/>
        </w:rPr>
        <w:t>、</w:t>
      </w:r>
      <w:r>
        <w:rPr>
          <w:rFonts w:ascii="宋体" w:hAnsi="宋体"/>
          <w:sz w:val="24"/>
        </w:rPr>
        <w:t>基金合同生效日：指基金募集达到法律法规规定及基金合同规定的条件，基金管理人向中国证监会办理基金备案手续完毕，并获得中国证监会书面确认的日期</w:t>
      </w:r>
    </w:p>
    <w:p w14:paraId="4B3ED1A9" w14:textId="77777777" w:rsidR="008A6127" w:rsidRDefault="00437D9F">
      <w:pPr>
        <w:snapToGrid w:val="0"/>
        <w:spacing w:line="360" w:lineRule="auto"/>
        <w:ind w:firstLineChars="200" w:firstLine="480"/>
        <w:rPr>
          <w:rFonts w:ascii="宋体" w:hAnsi="宋体"/>
          <w:sz w:val="24"/>
        </w:rPr>
      </w:pPr>
      <w:r>
        <w:rPr>
          <w:rFonts w:ascii="宋体" w:hAnsi="宋体"/>
          <w:sz w:val="24"/>
        </w:rPr>
        <w:t>32</w:t>
      </w:r>
      <w:r>
        <w:rPr>
          <w:rFonts w:ascii="宋体" w:hAnsi="宋体" w:hint="eastAsia"/>
          <w:sz w:val="24"/>
        </w:rPr>
        <w:t>、</w:t>
      </w:r>
      <w:r>
        <w:rPr>
          <w:rFonts w:ascii="宋体" w:hAnsi="宋体"/>
          <w:sz w:val="24"/>
        </w:rPr>
        <w:t>基金合同终止日：指基金合同规定的基金合同终止事由出现后，基金财产清算完毕，清算结果报中国证监会备案并予以公告的日期</w:t>
      </w:r>
    </w:p>
    <w:p w14:paraId="43FE2912" w14:textId="77777777" w:rsidR="008A6127" w:rsidRDefault="00437D9F">
      <w:pPr>
        <w:snapToGrid w:val="0"/>
        <w:spacing w:line="360" w:lineRule="auto"/>
        <w:ind w:firstLineChars="200" w:firstLine="480"/>
        <w:rPr>
          <w:rFonts w:ascii="宋体" w:hAnsi="宋体"/>
          <w:sz w:val="24"/>
        </w:rPr>
      </w:pPr>
      <w:r>
        <w:rPr>
          <w:rFonts w:ascii="宋体" w:hAnsi="宋体"/>
          <w:sz w:val="24"/>
        </w:rPr>
        <w:t>33</w:t>
      </w:r>
      <w:r>
        <w:rPr>
          <w:rFonts w:ascii="宋体" w:hAnsi="宋体" w:hint="eastAsia"/>
          <w:sz w:val="24"/>
        </w:rPr>
        <w:t>、</w:t>
      </w:r>
      <w:r>
        <w:rPr>
          <w:rFonts w:ascii="宋体" w:hAnsi="宋体"/>
          <w:sz w:val="24"/>
        </w:rPr>
        <w:t>基金募集期：指自基金份额发售之日起至发售结束之日止的期间，最长不得超过</w:t>
      </w:r>
      <w:r>
        <w:rPr>
          <w:rFonts w:ascii="宋体" w:hAnsi="宋体" w:hint="eastAsia"/>
          <w:sz w:val="24"/>
        </w:rPr>
        <w:t>3</w:t>
      </w:r>
      <w:r>
        <w:rPr>
          <w:rFonts w:ascii="宋体" w:hAnsi="宋体"/>
          <w:sz w:val="24"/>
        </w:rPr>
        <w:t>个月</w:t>
      </w:r>
    </w:p>
    <w:p w14:paraId="087A67DE" w14:textId="77777777" w:rsidR="008A6127" w:rsidRDefault="00437D9F">
      <w:pPr>
        <w:snapToGrid w:val="0"/>
        <w:spacing w:line="360" w:lineRule="auto"/>
        <w:ind w:firstLineChars="200" w:firstLine="480"/>
        <w:rPr>
          <w:rFonts w:ascii="宋体" w:hAnsi="宋体"/>
          <w:sz w:val="24"/>
        </w:rPr>
      </w:pPr>
      <w:r>
        <w:rPr>
          <w:rFonts w:ascii="宋体" w:hAnsi="宋体"/>
          <w:sz w:val="24"/>
        </w:rPr>
        <w:t>34</w:t>
      </w:r>
      <w:r>
        <w:rPr>
          <w:rFonts w:ascii="宋体" w:hAnsi="宋体" w:hint="eastAsia"/>
          <w:sz w:val="24"/>
        </w:rPr>
        <w:t>、</w:t>
      </w:r>
      <w:r>
        <w:rPr>
          <w:rFonts w:ascii="宋体" w:hAnsi="宋体"/>
          <w:sz w:val="24"/>
        </w:rPr>
        <w:t>存续期：指基金合同生效至终止之间的不定期期限</w:t>
      </w:r>
    </w:p>
    <w:p w14:paraId="5AEF5855" w14:textId="77777777" w:rsidR="008A6127" w:rsidRDefault="00437D9F">
      <w:pPr>
        <w:snapToGrid w:val="0"/>
        <w:spacing w:line="360" w:lineRule="auto"/>
        <w:ind w:firstLineChars="200" w:firstLine="480"/>
        <w:rPr>
          <w:rFonts w:ascii="宋体" w:hAnsi="宋体"/>
          <w:sz w:val="24"/>
        </w:rPr>
      </w:pPr>
      <w:r>
        <w:rPr>
          <w:rFonts w:ascii="宋体" w:hAnsi="宋体"/>
          <w:sz w:val="24"/>
        </w:rPr>
        <w:t>35</w:t>
      </w:r>
      <w:r>
        <w:rPr>
          <w:rFonts w:ascii="宋体" w:hAnsi="宋体" w:hint="eastAsia"/>
          <w:sz w:val="24"/>
        </w:rPr>
        <w:t>、</w:t>
      </w:r>
      <w:r>
        <w:rPr>
          <w:rFonts w:ascii="宋体" w:hAnsi="宋体"/>
          <w:sz w:val="24"/>
        </w:rPr>
        <w:t>工作日：指上海证券交易所、深圳证券</w:t>
      </w:r>
      <w:r>
        <w:rPr>
          <w:rFonts w:ascii="宋体" w:hAnsi="宋体" w:hint="eastAsia"/>
          <w:sz w:val="24"/>
        </w:rPr>
        <w:t>交易所的正常交</w:t>
      </w:r>
      <w:r>
        <w:rPr>
          <w:rFonts w:ascii="宋体" w:hAnsi="宋体"/>
          <w:sz w:val="24"/>
        </w:rPr>
        <w:t>易日</w:t>
      </w:r>
    </w:p>
    <w:p w14:paraId="2B1CA6EC" w14:textId="77777777" w:rsidR="008A6127" w:rsidRDefault="00437D9F">
      <w:pPr>
        <w:snapToGrid w:val="0"/>
        <w:spacing w:line="360" w:lineRule="auto"/>
        <w:ind w:firstLineChars="200" w:firstLine="480"/>
        <w:rPr>
          <w:rFonts w:ascii="宋体" w:hAnsi="宋体"/>
          <w:sz w:val="24"/>
        </w:rPr>
      </w:pPr>
      <w:r>
        <w:rPr>
          <w:rFonts w:ascii="宋体" w:hAnsi="宋体"/>
          <w:sz w:val="24"/>
        </w:rPr>
        <w:t>36</w:t>
      </w:r>
      <w:r>
        <w:rPr>
          <w:rFonts w:ascii="宋体" w:hAnsi="宋体" w:hint="eastAsia"/>
          <w:sz w:val="24"/>
        </w:rPr>
        <w:t>、</w:t>
      </w:r>
      <w:r>
        <w:rPr>
          <w:rFonts w:ascii="宋体" w:hAnsi="宋体"/>
          <w:sz w:val="24"/>
        </w:rPr>
        <w:t>T日：指销售机构在规定时间受理投资人申购、赎回或其他业务申请的开放日</w:t>
      </w:r>
    </w:p>
    <w:p w14:paraId="053C70BF" w14:textId="77777777" w:rsidR="008A6127" w:rsidRDefault="00437D9F">
      <w:pPr>
        <w:snapToGrid w:val="0"/>
        <w:spacing w:line="360" w:lineRule="auto"/>
        <w:ind w:firstLineChars="200" w:firstLine="480"/>
        <w:rPr>
          <w:rFonts w:ascii="宋体" w:hAnsi="宋体"/>
          <w:sz w:val="24"/>
        </w:rPr>
      </w:pPr>
      <w:r>
        <w:rPr>
          <w:rFonts w:ascii="宋体" w:hAnsi="宋体"/>
          <w:sz w:val="24"/>
        </w:rPr>
        <w:t>37</w:t>
      </w:r>
      <w:r>
        <w:rPr>
          <w:rFonts w:ascii="宋体" w:hAnsi="宋体" w:hint="eastAsia"/>
          <w:sz w:val="24"/>
        </w:rPr>
        <w:t>、</w:t>
      </w:r>
      <w:r>
        <w:rPr>
          <w:rFonts w:ascii="宋体" w:hAnsi="宋体"/>
          <w:sz w:val="24"/>
        </w:rPr>
        <w:t>T+n日：指自T日起第n</w:t>
      </w:r>
      <w:proofErr w:type="gramStart"/>
      <w:r>
        <w:rPr>
          <w:rFonts w:ascii="宋体" w:hAnsi="宋体"/>
          <w:sz w:val="24"/>
        </w:rPr>
        <w:t>个</w:t>
      </w:r>
      <w:proofErr w:type="gramEnd"/>
      <w:r>
        <w:rPr>
          <w:rFonts w:ascii="宋体" w:hAnsi="宋体"/>
          <w:sz w:val="24"/>
        </w:rPr>
        <w:t>工作日(不包含T日)</w:t>
      </w:r>
    </w:p>
    <w:p w14:paraId="7ABE0E06" w14:textId="77777777" w:rsidR="008A6127" w:rsidRDefault="00437D9F">
      <w:pPr>
        <w:snapToGrid w:val="0"/>
        <w:spacing w:line="360" w:lineRule="auto"/>
        <w:ind w:firstLineChars="200" w:firstLine="480"/>
        <w:rPr>
          <w:rFonts w:ascii="宋体" w:hAnsi="宋体"/>
          <w:sz w:val="24"/>
        </w:rPr>
      </w:pPr>
      <w:bookmarkStart w:id="59" w:name="_Hlk1998068"/>
      <w:r>
        <w:rPr>
          <w:rFonts w:ascii="宋体" w:hAnsi="宋体"/>
          <w:sz w:val="24"/>
        </w:rPr>
        <w:t>38</w:t>
      </w:r>
      <w:r>
        <w:rPr>
          <w:rFonts w:ascii="宋体" w:hAnsi="宋体" w:hint="eastAsia"/>
          <w:sz w:val="24"/>
        </w:rPr>
        <w:t>、</w:t>
      </w:r>
      <w:r>
        <w:rPr>
          <w:rFonts w:ascii="宋体" w:hAnsi="宋体"/>
          <w:sz w:val="24"/>
        </w:rPr>
        <w:t>开放日：指为投资人办理基金份额申购、赎回或其他业务的工作日</w:t>
      </w:r>
      <w:r>
        <w:rPr>
          <w:rFonts w:ascii="宋体" w:hAnsi="宋体" w:hint="eastAsia"/>
          <w:sz w:val="24"/>
        </w:rPr>
        <w:t>（</w:t>
      </w:r>
      <w:proofErr w:type="gramStart"/>
      <w:r>
        <w:rPr>
          <w:rFonts w:ascii="宋体" w:hAnsi="宋体" w:hint="eastAsia"/>
          <w:sz w:val="24"/>
        </w:rPr>
        <w:t>若基金</w:t>
      </w:r>
      <w:proofErr w:type="gramEnd"/>
      <w:r>
        <w:rPr>
          <w:rFonts w:ascii="宋体" w:hAnsi="宋体" w:hint="eastAsia"/>
          <w:sz w:val="24"/>
        </w:rPr>
        <w:t>参与港股</w:t>
      </w:r>
      <w:proofErr w:type="gramStart"/>
      <w:r>
        <w:rPr>
          <w:rFonts w:ascii="宋体" w:hAnsi="宋体" w:hint="eastAsia"/>
          <w:sz w:val="24"/>
        </w:rPr>
        <w:t>通交易</w:t>
      </w:r>
      <w:proofErr w:type="gramEnd"/>
      <w:r>
        <w:rPr>
          <w:rFonts w:ascii="宋体" w:hAnsi="宋体" w:hint="eastAsia"/>
          <w:sz w:val="24"/>
        </w:rPr>
        <w:t>且该工作日为非港股</w:t>
      </w:r>
      <w:proofErr w:type="gramStart"/>
      <w:r>
        <w:rPr>
          <w:rFonts w:ascii="宋体" w:hAnsi="宋体" w:hint="eastAsia"/>
          <w:sz w:val="24"/>
        </w:rPr>
        <w:t>通交</w:t>
      </w:r>
      <w:proofErr w:type="gramEnd"/>
      <w:r>
        <w:rPr>
          <w:rFonts w:ascii="宋体" w:hAnsi="宋体" w:hint="eastAsia"/>
          <w:sz w:val="24"/>
        </w:rPr>
        <w:t>易日时，则本基金可以不开放申购、赎回或其他业务。基金管理人为此决定不开放申购、赎回或其他业务的应按法律</w:t>
      </w:r>
      <w:r>
        <w:rPr>
          <w:rFonts w:ascii="宋体" w:hAnsi="宋体" w:hint="eastAsia"/>
          <w:sz w:val="24"/>
        </w:rPr>
        <w:lastRenderedPageBreak/>
        <w:t>法规公告。）</w:t>
      </w:r>
      <w:bookmarkEnd w:id="59"/>
    </w:p>
    <w:p w14:paraId="682CF6AF" w14:textId="77777777" w:rsidR="008A6127" w:rsidRDefault="00437D9F">
      <w:pPr>
        <w:snapToGrid w:val="0"/>
        <w:spacing w:line="360" w:lineRule="auto"/>
        <w:ind w:firstLineChars="200" w:firstLine="480"/>
        <w:rPr>
          <w:rFonts w:ascii="宋体" w:hAnsi="宋体"/>
          <w:sz w:val="24"/>
        </w:rPr>
      </w:pPr>
      <w:r>
        <w:rPr>
          <w:rFonts w:ascii="宋体" w:hAnsi="宋体"/>
          <w:sz w:val="24"/>
        </w:rPr>
        <w:t>39</w:t>
      </w:r>
      <w:r>
        <w:rPr>
          <w:rFonts w:ascii="宋体" w:hAnsi="宋体" w:hint="eastAsia"/>
          <w:sz w:val="24"/>
        </w:rPr>
        <w:t>、</w:t>
      </w:r>
      <w:r>
        <w:rPr>
          <w:rFonts w:ascii="宋体" w:hAnsi="宋体"/>
          <w:sz w:val="24"/>
        </w:rPr>
        <w:t>开放时间：指开放日基金接受申购、赎回或其他交易的时间段</w:t>
      </w:r>
    </w:p>
    <w:p w14:paraId="2000972E" w14:textId="77777777" w:rsidR="008A6127" w:rsidRDefault="00437D9F">
      <w:pPr>
        <w:snapToGrid w:val="0"/>
        <w:spacing w:line="360" w:lineRule="auto"/>
        <w:ind w:firstLineChars="200" w:firstLine="480"/>
        <w:rPr>
          <w:rFonts w:ascii="宋体" w:hAnsi="宋体"/>
          <w:sz w:val="24"/>
        </w:rPr>
      </w:pPr>
      <w:r>
        <w:rPr>
          <w:rFonts w:ascii="宋体" w:hAnsi="宋体"/>
          <w:sz w:val="24"/>
        </w:rPr>
        <w:t>40</w:t>
      </w:r>
      <w:r>
        <w:rPr>
          <w:rFonts w:ascii="宋体" w:hAnsi="宋体" w:hint="eastAsia"/>
          <w:sz w:val="24"/>
        </w:rPr>
        <w:t>、</w:t>
      </w:r>
      <w:r>
        <w:rPr>
          <w:rFonts w:ascii="宋体" w:hAnsi="宋体"/>
          <w:sz w:val="24"/>
        </w:rPr>
        <w:t>《业务规则》：指《</w:t>
      </w:r>
      <w:r>
        <w:rPr>
          <w:rFonts w:ascii="宋体" w:hAnsi="宋体" w:hint="eastAsia"/>
          <w:sz w:val="24"/>
        </w:rPr>
        <w:t>朱雀基金管理有限公司开放式基金业务规则》</w:t>
      </w:r>
      <w:r>
        <w:rPr>
          <w:rFonts w:ascii="宋体" w:hAnsi="宋体"/>
          <w:sz w:val="24"/>
        </w:rPr>
        <w:t>，是规范基金管理人所管理的开放式证券投资基金登记方面的业务规则，由基金管理人和投资人共同遵守</w:t>
      </w:r>
    </w:p>
    <w:p w14:paraId="51B48000" w14:textId="77777777" w:rsidR="008A6127" w:rsidRDefault="00437D9F">
      <w:pPr>
        <w:snapToGrid w:val="0"/>
        <w:spacing w:line="360" w:lineRule="auto"/>
        <w:ind w:firstLineChars="200" w:firstLine="480"/>
        <w:rPr>
          <w:rFonts w:ascii="宋体" w:hAnsi="宋体"/>
          <w:sz w:val="24"/>
        </w:rPr>
      </w:pPr>
      <w:r>
        <w:rPr>
          <w:rFonts w:ascii="宋体" w:hAnsi="宋体"/>
          <w:sz w:val="24"/>
        </w:rPr>
        <w:t>41</w:t>
      </w:r>
      <w:r>
        <w:rPr>
          <w:rFonts w:ascii="宋体" w:hAnsi="宋体" w:hint="eastAsia"/>
          <w:sz w:val="24"/>
        </w:rPr>
        <w:t>、</w:t>
      </w:r>
      <w:r>
        <w:rPr>
          <w:rFonts w:ascii="宋体" w:hAnsi="宋体"/>
          <w:sz w:val="24"/>
        </w:rPr>
        <w:t>认购：指在基金募集期内，投资人</w:t>
      </w:r>
      <w:r>
        <w:rPr>
          <w:rFonts w:ascii="宋体" w:hAnsi="宋体" w:hint="eastAsia"/>
          <w:sz w:val="24"/>
        </w:rPr>
        <w:t>根据基金合同和招募说明书的规定</w:t>
      </w:r>
      <w:r>
        <w:rPr>
          <w:rFonts w:ascii="宋体" w:hAnsi="宋体"/>
          <w:sz w:val="24"/>
        </w:rPr>
        <w:t>申请购买基金份额的行为</w:t>
      </w:r>
    </w:p>
    <w:p w14:paraId="149F53FF" w14:textId="77777777" w:rsidR="008A6127" w:rsidRDefault="00437D9F">
      <w:pPr>
        <w:snapToGrid w:val="0"/>
        <w:spacing w:line="360" w:lineRule="auto"/>
        <w:ind w:firstLineChars="200" w:firstLine="480"/>
        <w:rPr>
          <w:rFonts w:ascii="宋体" w:hAnsi="宋体"/>
          <w:sz w:val="24"/>
        </w:rPr>
      </w:pPr>
      <w:r>
        <w:rPr>
          <w:rFonts w:ascii="宋体" w:hAnsi="宋体"/>
          <w:sz w:val="24"/>
        </w:rPr>
        <w:t>42</w:t>
      </w:r>
      <w:r>
        <w:rPr>
          <w:rFonts w:ascii="宋体" w:hAnsi="宋体" w:hint="eastAsia"/>
          <w:sz w:val="24"/>
        </w:rPr>
        <w:t>、</w:t>
      </w:r>
      <w:r>
        <w:rPr>
          <w:rFonts w:ascii="宋体" w:hAnsi="宋体"/>
          <w:sz w:val="24"/>
        </w:rPr>
        <w:t>申购：指基金合同生效后，投资人根据基金合同和招募说明书的规定申请购买基金份额的行为</w:t>
      </w:r>
    </w:p>
    <w:p w14:paraId="3F6628DD" w14:textId="77777777" w:rsidR="008A6127" w:rsidRDefault="00437D9F">
      <w:pPr>
        <w:snapToGrid w:val="0"/>
        <w:spacing w:line="360" w:lineRule="auto"/>
        <w:ind w:firstLineChars="200" w:firstLine="480"/>
        <w:rPr>
          <w:rFonts w:ascii="宋体" w:hAnsi="宋体"/>
          <w:sz w:val="24"/>
        </w:rPr>
      </w:pPr>
      <w:r>
        <w:rPr>
          <w:rFonts w:ascii="宋体" w:hAnsi="宋体"/>
          <w:sz w:val="24"/>
        </w:rPr>
        <w:t>43</w:t>
      </w:r>
      <w:r>
        <w:rPr>
          <w:rFonts w:ascii="宋体" w:hAnsi="宋体" w:hint="eastAsia"/>
          <w:sz w:val="24"/>
        </w:rPr>
        <w:t>、</w:t>
      </w:r>
      <w:r>
        <w:rPr>
          <w:rFonts w:ascii="宋体" w:hAnsi="宋体"/>
          <w:sz w:val="24"/>
        </w:rPr>
        <w:t>赎回：指基金合同生效后，基金份额持有人按基金合同和招募说明书规定的条件要求将基金份额兑换为现金的行为</w:t>
      </w:r>
    </w:p>
    <w:p w14:paraId="4D3A8E36" w14:textId="77777777" w:rsidR="008A6127" w:rsidRDefault="00437D9F">
      <w:pPr>
        <w:snapToGrid w:val="0"/>
        <w:spacing w:line="360" w:lineRule="auto"/>
        <w:ind w:firstLineChars="200" w:firstLine="480"/>
        <w:rPr>
          <w:rFonts w:ascii="宋体" w:hAnsi="宋体"/>
          <w:sz w:val="24"/>
        </w:rPr>
      </w:pPr>
      <w:r>
        <w:rPr>
          <w:rFonts w:ascii="宋体" w:hAnsi="宋体"/>
          <w:sz w:val="24"/>
        </w:rPr>
        <w:t>44</w:t>
      </w:r>
      <w:r>
        <w:rPr>
          <w:rFonts w:ascii="宋体" w:hAnsi="宋体" w:hint="eastAsia"/>
          <w:sz w:val="24"/>
        </w:rPr>
        <w:t>、</w:t>
      </w:r>
      <w:r>
        <w:rPr>
          <w:rFonts w:ascii="宋体" w:hAnsi="宋体"/>
          <w:sz w:val="24"/>
        </w:rPr>
        <w:t>基金转换：指基金份额持有人按照基金合同和基金管理人届时有效公告规定的条件，申请将其持有基金管理人管理的、某一基金的基金份额转换为基金管理人管理的其他</w:t>
      </w:r>
      <w:proofErr w:type="gramStart"/>
      <w:r>
        <w:rPr>
          <w:rFonts w:ascii="宋体" w:hAnsi="宋体"/>
          <w:sz w:val="24"/>
        </w:rPr>
        <w:t>基金基金</w:t>
      </w:r>
      <w:proofErr w:type="gramEnd"/>
      <w:r>
        <w:rPr>
          <w:rFonts w:ascii="宋体" w:hAnsi="宋体"/>
          <w:sz w:val="24"/>
        </w:rPr>
        <w:t>份额的行为</w:t>
      </w:r>
    </w:p>
    <w:p w14:paraId="5A6E84FB" w14:textId="77777777" w:rsidR="008A6127" w:rsidRDefault="00437D9F">
      <w:pPr>
        <w:snapToGrid w:val="0"/>
        <w:spacing w:line="360" w:lineRule="auto"/>
        <w:ind w:firstLineChars="200" w:firstLine="480"/>
        <w:rPr>
          <w:rFonts w:ascii="宋体" w:hAnsi="宋体"/>
          <w:sz w:val="24"/>
        </w:rPr>
      </w:pPr>
      <w:r>
        <w:rPr>
          <w:rFonts w:ascii="宋体" w:hAnsi="宋体"/>
          <w:sz w:val="24"/>
        </w:rPr>
        <w:t>45</w:t>
      </w:r>
      <w:r>
        <w:rPr>
          <w:rFonts w:ascii="宋体" w:hAnsi="宋体" w:hint="eastAsia"/>
          <w:sz w:val="24"/>
        </w:rPr>
        <w:t>、</w:t>
      </w:r>
      <w:r>
        <w:rPr>
          <w:rFonts w:ascii="宋体" w:hAnsi="宋体"/>
          <w:sz w:val="24"/>
        </w:rPr>
        <w:t>转托管：指基金份额持有人在本基金的不同销售机构之间实施的变更所持基金份额销售机构的操作</w:t>
      </w:r>
    </w:p>
    <w:p w14:paraId="5CF08971" w14:textId="77777777" w:rsidR="008A6127" w:rsidRDefault="00437D9F">
      <w:pPr>
        <w:snapToGrid w:val="0"/>
        <w:spacing w:line="360" w:lineRule="auto"/>
        <w:ind w:firstLineChars="200" w:firstLine="480"/>
        <w:rPr>
          <w:rFonts w:ascii="宋体" w:hAnsi="宋体"/>
          <w:sz w:val="24"/>
        </w:rPr>
      </w:pPr>
      <w:r>
        <w:rPr>
          <w:rFonts w:ascii="宋体" w:hAnsi="宋体"/>
          <w:sz w:val="24"/>
        </w:rPr>
        <w:t>46</w:t>
      </w:r>
      <w:r>
        <w:rPr>
          <w:rFonts w:ascii="宋体" w:hAnsi="宋体" w:hint="eastAsia"/>
          <w:sz w:val="24"/>
        </w:rPr>
        <w:t>、</w:t>
      </w:r>
      <w:r>
        <w:rPr>
          <w:rFonts w:ascii="宋体" w:hAnsi="宋体"/>
          <w:sz w:val="24"/>
        </w:rPr>
        <w:t>定期定额投资计划：指投资人通过有关销售机构提出申请，约定每期</w:t>
      </w:r>
      <w:r>
        <w:rPr>
          <w:rFonts w:ascii="宋体" w:hAnsi="宋体" w:hint="eastAsia"/>
          <w:sz w:val="24"/>
        </w:rPr>
        <w:t>申购</w:t>
      </w:r>
      <w:r>
        <w:rPr>
          <w:rFonts w:ascii="宋体" w:hAnsi="宋体"/>
          <w:sz w:val="24"/>
        </w:rPr>
        <w:t>日、扣款金额及扣款方式，由销售机构于每期约定扣款日在投资人指定银行账户内自动完成扣款及</w:t>
      </w:r>
      <w:r>
        <w:rPr>
          <w:rFonts w:ascii="宋体" w:hAnsi="宋体" w:hint="eastAsia"/>
          <w:sz w:val="24"/>
        </w:rPr>
        <w:t>受理</w:t>
      </w:r>
      <w:r>
        <w:rPr>
          <w:rFonts w:ascii="宋体" w:hAnsi="宋体"/>
          <w:sz w:val="24"/>
        </w:rPr>
        <w:t>基金申购申请的一种投资方式</w:t>
      </w:r>
    </w:p>
    <w:p w14:paraId="12D5A259" w14:textId="77777777" w:rsidR="008A6127" w:rsidRDefault="00437D9F">
      <w:pPr>
        <w:snapToGrid w:val="0"/>
        <w:spacing w:line="360" w:lineRule="auto"/>
        <w:ind w:firstLineChars="200" w:firstLine="480"/>
        <w:rPr>
          <w:rFonts w:ascii="宋体" w:hAnsi="宋体"/>
          <w:sz w:val="24"/>
        </w:rPr>
      </w:pPr>
      <w:r>
        <w:rPr>
          <w:rFonts w:ascii="宋体" w:hAnsi="宋体"/>
          <w:sz w:val="24"/>
        </w:rPr>
        <w:t>47</w:t>
      </w:r>
      <w:r>
        <w:rPr>
          <w:rFonts w:ascii="宋体" w:hAnsi="宋体" w:hint="eastAsia"/>
          <w:sz w:val="24"/>
        </w:rPr>
        <w:t>、</w:t>
      </w:r>
      <w:r>
        <w:rPr>
          <w:rFonts w:ascii="宋体" w:hAnsi="宋体"/>
          <w:sz w:val="24"/>
        </w:rPr>
        <w:t>巨额赎回：指本基金单个开放日，基金净赎回申请(赎回申请份额总数加上基金转换中转出申请份额总数后扣除申购申请份额总数及基金转换中转入申请份额总数后的余额)超过上一开放日基金总份额的10</w:t>
      </w:r>
      <w:r>
        <w:rPr>
          <w:rFonts w:ascii="宋体" w:hAnsi="宋体" w:hint="eastAsia"/>
          <w:sz w:val="24"/>
        </w:rPr>
        <w:t>%的情形</w:t>
      </w:r>
    </w:p>
    <w:p w14:paraId="28C1F232" w14:textId="77777777" w:rsidR="008A6127" w:rsidRDefault="00437D9F">
      <w:pPr>
        <w:snapToGrid w:val="0"/>
        <w:spacing w:line="360" w:lineRule="auto"/>
        <w:ind w:firstLineChars="200" w:firstLine="480"/>
        <w:rPr>
          <w:rFonts w:ascii="宋体" w:hAnsi="宋体"/>
          <w:sz w:val="24"/>
        </w:rPr>
      </w:pPr>
      <w:r>
        <w:rPr>
          <w:rFonts w:ascii="宋体" w:hAnsi="宋体"/>
          <w:sz w:val="24"/>
        </w:rPr>
        <w:t>48</w:t>
      </w:r>
      <w:r>
        <w:rPr>
          <w:rFonts w:ascii="宋体" w:hAnsi="宋体" w:hint="eastAsia"/>
          <w:sz w:val="24"/>
        </w:rPr>
        <w:t>、</w:t>
      </w:r>
      <w:r>
        <w:rPr>
          <w:rFonts w:ascii="宋体" w:hAnsi="宋体"/>
          <w:sz w:val="24"/>
        </w:rPr>
        <w:t>元：指人民币元</w:t>
      </w:r>
    </w:p>
    <w:p w14:paraId="3375350B" w14:textId="77777777" w:rsidR="008A6127" w:rsidRDefault="00437D9F">
      <w:pPr>
        <w:snapToGrid w:val="0"/>
        <w:spacing w:line="360" w:lineRule="auto"/>
        <w:ind w:firstLineChars="200" w:firstLine="480"/>
        <w:rPr>
          <w:rFonts w:ascii="宋体" w:hAnsi="宋体"/>
          <w:sz w:val="24"/>
        </w:rPr>
      </w:pPr>
      <w:r>
        <w:rPr>
          <w:rFonts w:ascii="宋体" w:hAnsi="宋体"/>
          <w:sz w:val="24"/>
        </w:rPr>
        <w:t>49</w:t>
      </w:r>
      <w:r>
        <w:rPr>
          <w:rFonts w:ascii="宋体" w:hAnsi="宋体" w:hint="eastAsia"/>
          <w:sz w:val="24"/>
        </w:rPr>
        <w:t>、</w:t>
      </w:r>
      <w:r>
        <w:rPr>
          <w:rFonts w:ascii="宋体" w:hAnsi="宋体"/>
          <w:sz w:val="24"/>
        </w:rPr>
        <w:t>基金收益：指基金投资所得红利、股息、债券利息、买卖证券价差、银行存款利息、已实现的其他合法收入及因运用基金财产带来的成本和费用的节约</w:t>
      </w:r>
    </w:p>
    <w:p w14:paraId="3280A869" w14:textId="77777777" w:rsidR="008A6127" w:rsidRDefault="00437D9F">
      <w:pPr>
        <w:snapToGrid w:val="0"/>
        <w:spacing w:line="360" w:lineRule="auto"/>
        <w:ind w:firstLineChars="200" w:firstLine="480"/>
        <w:rPr>
          <w:rFonts w:ascii="宋体" w:hAnsi="宋体"/>
          <w:sz w:val="24"/>
        </w:rPr>
      </w:pPr>
      <w:r>
        <w:rPr>
          <w:rFonts w:ascii="宋体" w:hAnsi="宋体"/>
          <w:sz w:val="24"/>
        </w:rPr>
        <w:t>50</w:t>
      </w:r>
      <w:r>
        <w:rPr>
          <w:rFonts w:ascii="宋体" w:hAnsi="宋体" w:hint="eastAsia"/>
          <w:sz w:val="24"/>
        </w:rPr>
        <w:t>、</w:t>
      </w:r>
      <w:r>
        <w:rPr>
          <w:rFonts w:ascii="宋体" w:hAnsi="宋体"/>
          <w:sz w:val="24"/>
        </w:rPr>
        <w:t>基金资产总值：指基金拥有的各类有价证券、银行存款本息、基金应收申购款及其他资产的价值总和</w:t>
      </w:r>
    </w:p>
    <w:p w14:paraId="0CC98D94" w14:textId="77777777" w:rsidR="008A6127" w:rsidRDefault="00437D9F">
      <w:pPr>
        <w:snapToGrid w:val="0"/>
        <w:spacing w:line="360" w:lineRule="auto"/>
        <w:ind w:firstLineChars="200" w:firstLine="480"/>
        <w:rPr>
          <w:rFonts w:ascii="宋体" w:hAnsi="宋体"/>
          <w:sz w:val="24"/>
        </w:rPr>
      </w:pPr>
      <w:r>
        <w:rPr>
          <w:rFonts w:ascii="宋体" w:hAnsi="宋体"/>
          <w:sz w:val="24"/>
        </w:rPr>
        <w:t>51</w:t>
      </w:r>
      <w:r>
        <w:rPr>
          <w:rFonts w:ascii="宋体" w:hAnsi="宋体" w:hint="eastAsia"/>
          <w:sz w:val="24"/>
        </w:rPr>
        <w:t>、</w:t>
      </w:r>
      <w:r>
        <w:rPr>
          <w:rFonts w:ascii="宋体" w:hAnsi="宋体"/>
          <w:sz w:val="24"/>
        </w:rPr>
        <w:t>基金资产净值：指基金资产总值减去基金负债后的价值</w:t>
      </w:r>
    </w:p>
    <w:p w14:paraId="2B491A8B" w14:textId="77777777" w:rsidR="008A6127" w:rsidRDefault="00437D9F">
      <w:pPr>
        <w:snapToGrid w:val="0"/>
        <w:spacing w:line="360" w:lineRule="auto"/>
        <w:ind w:firstLineChars="200" w:firstLine="480"/>
        <w:rPr>
          <w:rFonts w:ascii="宋体" w:hAnsi="宋体"/>
          <w:sz w:val="24"/>
        </w:rPr>
      </w:pPr>
      <w:r>
        <w:rPr>
          <w:rFonts w:ascii="宋体" w:hAnsi="宋体"/>
          <w:sz w:val="24"/>
        </w:rPr>
        <w:t>52</w:t>
      </w:r>
      <w:r>
        <w:rPr>
          <w:rFonts w:ascii="宋体" w:hAnsi="宋体" w:hint="eastAsia"/>
          <w:sz w:val="24"/>
        </w:rPr>
        <w:t>、</w:t>
      </w:r>
      <w:r>
        <w:rPr>
          <w:rFonts w:ascii="宋体" w:hAnsi="宋体"/>
          <w:sz w:val="24"/>
        </w:rPr>
        <w:t>基金份额净值：指计算日基金资产净值除以计算日基金份额总数</w:t>
      </w:r>
    </w:p>
    <w:p w14:paraId="2E8C0DAE" w14:textId="77777777" w:rsidR="008A6127" w:rsidRDefault="00437D9F">
      <w:pPr>
        <w:snapToGrid w:val="0"/>
        <w:spacing w:line="360" w:lineRule="auto"/>
        <w:ind w:firstLineChars="200" w:firstLine="480"/>
        <w:rPr>
          <w:rFonts w:ascii="宋体" w:hAnsi="宋体"/>
          <w:sz w:val="24"/>
        </w:rPr>
      </w:pPr>
      <w:r>
        <w:rPr>
          <w:rFonts w:ascii="宋体" w:hAnsi="宋体"/>
          <w:sz w:val="24"/>
        </w:rPr>
        <w:t>53</w:t>
      </w:r>
      <w:r>
        <w:rPr>
          <w:rFonts w:ascii="宋体" w:hAnsi="宋体" w:hint="eastAsia"/>
          <w:sz w:val="24"/>
        </w:rPr>
        <w:t>、</w:t>
      </w:r>
      <w:r>
        <w:rPr>
          <w:rFonts w:ascii="宋体" w:hAnsi="宋体"/>
          <w:sz w:val="24"/>
        </w:rPr>
        <w:t>基金资产估值：指计算评估基金资产和负债的价值，以确定基金资产净</w:t>
      </w:r>
      <w:r>
        <w:rPr>
          <w:rFonts w:ascii="宋体" w:hAnsi="宋体"/>
          <w:sz w:val="24"/>
        </w:rPr>
        <w:lastRenderedPageBreak/>
        <w:t>值和基金份额净值的过程</w:t>
      </w:r>
    </w:p>
    <w:p w14:paraId="4DF5951E" w14:textId="77777777" w:rsidR="008A6127" w:rsidRDefault="00437D9F">
      <w:pPr>
        <w:snapToGrid w:val="0"/>
        <w:spacing w:line="360" w:lineRule="auto"/>
        <w:ind w:firstLineChars="200" w:firstLine="480"/>
        <w:rPr>
          <w:rFonts w:ascii="宋体" w:hAnsi="宋体"/>
          <w:sz w:val="24"/>
        </w:rPr>
      </w:pPr>
      <w:r>
        <w:rPr>
          <w:rFonts w:ascii="宋体" w:hAnsi="宋体"/>
          <w:sz w:val="24"/>
        </w:rPr>
        <w:t>54</w:t>
      </w:r>
      <w:r>
        <w:rPr>
          <w:rFonts w:ascii="宋体" w:hAnsi="宋体" w:hint="eastAsia"/>
          <w:sz w:val="24"/>
        </w:rPr>
        <w:t>、</w:t>
      </w:r>
      <w:r>
        <w:rPr>
          <w:rFonts w:ascii="宋体" w:hAnsi="宋体"/>
          <w:sz w:val="24"/>
        </w:rPr>
        <w:t>规定媒介：指中国证监会指定的用以进行信息披露的</w:t>
      </w:r>
      <w:r>
        <w:rPr>
          <w:rFonts w:ascii="宋体" w:hAnsi="宋体" w:hint="eastAsia"/>
          <w:sz w:val="24"/>
        </w:rPr>
        <w:t>全国性</w:t>
      </w:r>
      <w:r>
        <w:rPr>
          <w:rFonts w:ascii="宋体" w:hAnsi="宋体"/>
          <w:sz w:val="24"/>
        </w:rPr>
        <w:t>报刊</w:t>
      </w:r>
      <w:r>
        <w:rPr>
          <w:rFonts w:ascii="宋体" w:hAnsi="宋体" w:hint="eastAsia"/>
          <w:sz w:val="24"/>
        </w:rPr>
        <w:t>及指定</w:t>
      </w:r>
      <w:r>
        <w:rPr>
          <w:rFonts w:ascii="宋体" w:hAnsi="宋体"/>
          <w:sz w:val="24"/>
        </w:rPr>
        <w:t>互联网网站</w:t>
      </w:r>
      <w:r>
        <w:rPr>
          <w:rFonts w:ascii="宋体" w:hAnsi="宋体" w:hint="eastAsia"/>
          <w:sz w:val="24"/>
        </w:rPr>
        <w:t>（包括基金管理人网站、基金托管人网站、中国证监会基金电子披露网站）等媒介</w:t>
      </w:r>
    </w:p>
    <w:p w14:paraId="61666F9F" w14:textId="77777777" w:rsidR="008A6127" w:rsidRDefault="00437D9F">
      <w:pPr>
        <w:snapToGrid w:val="0"/>
        <w:spacing w:line="360" w:lineRule="auto"/>
        <w:ind w:firstLineChars="200" w:firstLine="480"/>
        <w:rPr>
          <w:rFonts w:ascii="宋体" w:hAnsi="宋体"/>
          <w:sz w:val="24"/>
        </w:rPr>
      </w:pPr>
      <w:r>
        <w:rPr>
          <w:rFonts w:ascii="宋体" w:hAnsi="宋体"/>
          <w:sz w:val="24"/>
        </w:rPr>
        <w:t>55</w:t>
      </w:r>
      <w:r>
        <w:rPr>
          <w:rFonts w:ascii="宋体" w:hAnsi="宋体" w:hint="eastAsia"/>
          <w:sz w:val="24"/>
        </w:rPr>
        <w:t>、基金份额类别：指本基金根据认购/申购费用、销售服务费收取方式的不同，将基金份额分为不同的类别，各基金份额类别分别设置代码，分别计算和公告基金份额净值和基金份额累计净值</w:t>
      </w:r>
    </w:p>
    <w:p w14:paraId="31D50ACB" w14:textId="77777777" w:rsidR="008A6127" w:rsidRDefault="00437D9F">
      <w:pPr>
        <w:snapToGrid w:val="0"/>
        <w:spacing w:line="360" w:lineRule="auto"/>
        <w:ind w:firstLineChars="200" w:firstLine="480"/>
        <w:rPr>
          <w:rFonts w:ascii="宋体" w:hAnsi="宋体"/>
          <w:sz w:val="24"/>
        </w:rPr>
      </w:pPr>
      <w:r>
        <w:rPr>
          <w:rFonts w:ascii="宋体" w:hAnsi="宋体"/>
          <w:sz w:val="24"/>
        </w:rPr>
        <w:t>56</w:t>
      </w:r>
      <w:r>
        <w:rPr>
          <w:rFonts w:ascii="宋体" w:hAnsi="宋体" w:hint="eastAsia"/>
          <w:sz w:val="24"/>
        </w:rPr>
        <w:t>、A类基金份额：指在投资人认购/申购基金时收取认购/申购费用，但不从本类别基金资产中计</w:t>
      </w:r>
      <w:proofErr w:type="gramStart"/>
      <w:r>
        <w:rPr>
          <w:rFonts w:ascii="宋体" w:hAnsi="宋体" w:hint="eastAsia"/>
          <w:sz w:val="24"/>
        </w:rPr>
        <w:t>提销售</w:t>
      </w:r>
      <w:proofErr w:type="gramEnd"/>
      <w:r>
        <w:rPr>
          <w:rFonts w:ascii="宋体" w:hAnsi="宋体" w:hint="eastAsia"/>
          <w:sz w:val="24"/>
        </w:rPr>
        <w:t>服务费的基金份额</w:t>
      </w:r>
    </w:p>
    <w:p w14:paraId="550BD407" w14:textId="77777777" w:rsidR="008A6127" w:rsidRDefault="00437D9F">
      <w:pPr>
        <w:snapToGrid w:val="0"/>
        <w:spacing w:line="360" w:lineRule="auto"/>
        <w:ind w:firstLineChars="200" w:firstLine="480"/>
        <w:rPr>
          <w:rFonts w:ascii="宋体" w:hAnsi="宋体"/>
          <w:sz w:val="24"/>
        </w:rPr>
      </w:pPr>
      <w:r>
        <w:rPr>
          <w:rFonts w:ascii="宋体" w:hAnsi="宋体"/>
          <w:sz w:val="24"/>
        </w:rPr>
        <w:t>57</w:t>
      </w:r>
      <w:r>
        <w:rPr>
          <w:rFonts w:ascii="宋体" w:hAnsi="宋体" w:hint="eastAsia"/>
          <w:sz w:val="24"/>
        </w:rPr>
        <w:t>、C类基金份额：指在投资人认购/申购基金时不收取认购/申购费用，而是从本类别基金资产中计</w:t>
      </w:r>
      <w:proofErr w:type="gramStart"/>
      <w:r>
        <w:rPr>
          <w:rFonts w:ascii="宋体" w:hAnsi="宋体" w:hint="eastAsia"/>
          <w:sz w:val="24"/>
        </w:rPr>
        <w:t>提销售</w:t>
      </w:r>
      <w:proofErr w:type="gramEnd"/>
      <w:r>
        <w:rPr>
          <w:rFonts w:ascii="宋体" w:hAnsi="宋体" w:hint="eastAsia"/>
          <w:sz w:val="24"/>
        </w:rPr>
        <w:t>服务费的基金份额</w:t>
      </w:r>
    </w:p>
    <w:p w14:paraId="41D1F8EB" w14:textId="77777777" w:rsidR="008A6127" w:rsidRDefault="00437D9F">
      <w:pPr>
        <w:snapToGrid w:val="0"/>
        <w:spacing w:line="360" w:lineRule="auto"/>
        <w:ind w:firstLineChars="200" w:firstLine="480"/>
        <w:rPr>
          <w:rFonts w:ascii="宋体" w:hAnsi="宋体"/>
          <w:sz w:val="24"/>
        </w:rPr>
      </w:pPr>
      <w:r>
        <w:rPr>
          <w:rFonts w:ascii="宋体" w:hAnsi="宋体"/>
          <w:sz w:val="24"/>
        </w:rPr>
        <w:t>58</w:t>
      </w:r>
      <w:r>
        <w:rPr>
          <w:rFonts w:ascii="宋体" w:hAnsi="宋体" w:hint="eastAsia"/>
          <w:sz w:val="24"/>
        </w:rPr>
        <w:t>、销售服务费：指从基金财产中计提的，用于本基金市场推广、销售以及基金份额持有人服务的费用</w:t>
      </w:r>
    </w:p>
    <w:p w14:paraId="2F472A2F" w14:textId="77777777" w:rsidR="008A6127" w:rsidRDefault="00437D9F">
      <w:pPr>
        <w:snapToGrid w:val="0"/>
        <w:spacing w:line="360" w:lineRule="auto"/>
        <w:ind w:firstLineChars="200" w:firstLine="480"/>
        <w:rPr>
          <w:rFonts w:ascii="宋体" w:hAnsi="宋体"/>
          <w:sz w:val="24"/>
        </w:rPr>
      </w:pPr>
      <w:r>
        <w:rPr>
          <w:rFonts w:ascii="宋体" w:hAnsi="宋体"/>
          <w:sz w:val="24"/>
        </w:rPr>
        <w:t>59</w:t>
      </w:r>
      <w:r>
        <w:rPr>
          <w:rFonts w:ascii="宋体" w:hAnsi="宋体" w:hint="eastAsia"/>
          <w:sz w:val="24"/>
        </w:rPr>
        <w:t>、流动性受限资产：指由于法律法规、监管、合同或操作障碍等原因无法以合理价格予以变现的资产，包括但不限于到期日在10个交易日以上的逆回购与银行定期存款（</w:t>
      </w:r>
      <w:proofErr w:type="gramStart"/>
      <w:r>
        <w:rPr>
          <w:rFonts w:ascii="宋体" w:hAnsi="宋体" w:hint="eastAsia"/>
          <w:sz w:val="24"/>
        </w:rPr>
        <w:t>含协议</w:t>
      </w:r>
      <w:proofErr w:type="gramEnd"/>
      <w:r>
        <w:rPr>
          <w:rFonts w:ascii="宋体" w:hAnsi="宋体" w:hint="eastAsia"/>
          <w:sz w:val="24"/>
        </w:rPr>
        <w:t>约定有条件提前支取的银行存款）、停牌股票、流通受限的新股及非公开发行股票、资产支持证券、因发行人债务违约无法进行转让或交易的债券等</w:t>
      </w:r>
    </w:p>
    <w:p w14:paraId="582A2C9B" w14:textId="77777777" w:rsidR="008A6127" w:rsidRDefault="00437D9F">
      <w:pPr>
        <w:snapToGrid w:val="0"/>
        <w:spacing w:line="360" w:lineRule="auto"/>
        <w:ind w:firstLineChars="200" w:firstLine="480"/>
        <w:rPr>
          <w:rFonts w:ascii="宋体" w:hAnsi="宋体"/>
          <w:sz w:val="24"/>
        </w:rPr>
      </w:pPr>
      <w:r>
        <w:rPr>
          <w:rFonts w:ascii="宋体" w:hAnsi="宋体"/>
          <w:sz w:val="24"/>
        </w:rPr>
        <w:t>60</w:t>
      </w:r>
      <w:r>
        <w:rPr>
          <w:rFonts w:ascii="宋体" w:hAnsi="宋体" w:hint="eastAsia"/>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64FE26D9" w14:textId="77777777" w:rsidR="008A6127" w:rsidRDefault="00437D9F">
      <w:pPr>
        <w:snapToGrid w:val="0"/>
        <w:spacing w:line="360" w:lineRule="auto"/>
        <w:ind w:firstLineChars="200" w:firstLine="480"/>
        <w:rPr>
          <w:rFonts w:ascii="宋体" w:hAnsi="宋体"/>
          <w:sz w:val="24"/>
        </w:rPr>
      </w:pPr>
      <w:r>
        <w:rPr>
          <w:rFonts w:ascii="宋体" w:hAnsi="宋体"/>
          <w:sz w:val="24"/>
        </w:rPr>
        <w:t>61</w:t>
      </w:r>
      <w:r>
        <w:rPr>
          <w:rFonts w:ascii="宋体" w:hAnsi="宋体" w:hint="eastAsia"/>
          <w:sz w:val="24"/>
        </w:rPr>
        <w:t>、</w:t>
      </w:r>
      <w:r>
        <w:rPr>
          <w:rFonts w:ascii="宋体" w:hAnsi="宋体"/>
          <w:sz w:val="24"/>
        </w:rPr>
        <w:t>不可抗力：指</w:t>
      </w:r>
      <w:r>
        <w:rPr>
          <w:rFonts w:ascii="宋体" w:hAnsi="宋体" w:hint="eastAsia"/>
          <w:sz w:val="24"/>
        </w:rPr>
        <w:t>基金</w:t>
      </w:r>
      <w:r>
        <w:rPr>
          <w:rFonts w:ascii="宋体" w:hAnsi="宋体"/>
          <w:sz w:val="24"/>
        </w:rPr>
        <w:t>合同当事人不能预见、不能避免且不能克服的客观事件</w:t>
      </w:r>
      <w:bookmarkEnd w:id="58"/>
    </w:p>
    <w:p w14:paraId="05254C4B"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宋体" w:hAnsi="宋体"/>
          <w:b w:val="0"/>
          <w:bCs w:val="0"/>
          <w:sz w:val="21"/>
          <w:szCs w:val="21"/>
        </w:rPr>
        <w:br w:type="page"/>
      </w:r>
      <w:bookmarkStart w:id="60" w:name="_Toc360793847"/>
      <w:bookmarkStart w:id="61" w:name="_Toc360794097"/>
      <w:bookmarkStart w:id="62" w:name="_Toc421532541"/>
      <w:bookmarkStart w:id="63" w:name="_Toc362455180"/>
      <w:bookmarkStart w:id="64" w:name="_Toc10491"/>
      <w:bookmarkStart w:id="65" w:name="_Toc360794513"/>
      <w:bookmarkStart w:id="66" w:name="_Toc362533452"/>
      <w:bookmarkStart w:id="67" w:name="_Toc360794405"/>
      <w:bookmarkStart w:id="68" w:name="_Toc360793495"/>
      <w:bookmarkStart w:id="69" w:name="_Toc10745"/>
      <w:bookmarkStart w:id="70" w:name="_Toc4987"/>
      <w:bookmarkStart w:id="71" w:name="_Toc405455120"/>
      <w:bookmarkStart w:id="72" w:name="_Toc21800"/>
      <w:bookmarkStart w:id="73" w:name="_Toc6956"/>
      <w:bookmarkStart w:id="74" w:name="_Toc204678782"/>
      <w:r>
        <w:rPr>
          <w:rFonts w:ascii="Cambria" w:hAnsi="Cambria" w:hint="eastAsia"/>
          <w:sz w:val="32"/>
          <w:szCs w:val="32"/>
        </w:rPr>
        <w:lastRenderedPageBreak/>
        <w:t>基金管理人</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02EC9D96" w14:textId="77777777" w:rsidR="008A6127" w:rsidRDefault="00437D9F">
      <w:pPr>
        <w:adjustRightInd w:val="0"/>
        <w:snapToGrid w:val="0"/>
        <w:spacing w:line="360" w:lineRule="auto"/>
        <w:ind w:firstLineChars="200" w:firstLine="482"/>
        <w:rPr>
          <w:rFonts w:ascii="Cambria" w:hAnsi="Cambria"/>
          <w:b/>
          <w:bCs/>
          <w:sz w:val="24"/>
        </w:rPr>
      </w:pPr>
      <w:r>
        <w:rPr>
          <w:rFonts w:ascii="Cambria" w:hAnsi="Cambria" w:hint="eastAsia"/>
          <w:b/>
          <w:bCs/>
          <w:sz w:val="24"/>
        </w:rPr>
        <w:t>（一）基金管理人概况</w:t>
      </w:r>
    </w:p>
    <w:p w14:paraId="4A6629C8" w14:textId="77777777" w:rsidR="008A6127" w:rsidRDefault="00437D9F">
      <w:pPr>
        <w:snapToGrid w:val="0"/>
        <w:spacing w:line="360" w:lineRule="auto"/>
        <w:ind w:firstLineChars="200" w:firstLine="480"/>
        <w:rPr>
          <w:rFonts w:ascii="宋体" w:hAnsi="宋体"/>
          <w:sz w:val="24"/>
        </w:rPr>
      </w:pPr>
      <w:bookmarkStart w:id="75" w:name="_Hlk43711749"/>
      <w:r>
        <w:rPr>
          <w:rFonts w:ascii="宋体" w:hAnsi="宋体" w:hint="eastAsia"/>
          <w:sz w:val="24"/>
        </w:rPr>
        <w:t>名称：朱雀基金管理有限公司</w:t>
      </w:r>
      <w:bookmarkStart w:id="76" w:name="_Hlk43714339"/>
      <w:r>
        <w:rPr>
          <w:rFonts w:ascii="宋体" w:hAnsi="宋体" w:hint="eastAsia"/>
          <w:sz w:val="24"/>
        </w:rPr>
        <w:t>（以下简称“朱雀基金”）</w:t>
      </w:r>
      <w:bookmarkEnd w:id="76"/>
    </w:p>
    <w:p w14:paraId="4C5DB08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住所：西安经济技术开发区草滩生态产业园尚</w:t>
      </w:r>
      <w:proofErr w:type="gramStart"/>
      <w:r>
        <w:rPr>
          <w:rFonts w:ascii="宋体" w:hAnsi="宋体" w:hint="eastAsia"/>
          <w:sz w:val="24"/>
        </w:rPr>
        <w:t>稷</w:t>
      </w:r>
      <w:proofErr w:type="gramEnd"/>
      <w:r>
        <w:rPr>
          <w:rFonts w:ascii="宋体" w:hAnsi="宋体" w:hint="eastAsia"/>
          <w:sz w:val="24"/>
        </w:rPr>
        <w:t>路8号一栋二楼</w:t>
      </w:r>
    </w:p>
    <w:p w14:paraId="414A17D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办公地址：上海市浦东新区海阳西路555号前</w:t>
      </w:r>
      <w:proofErr w:type="gramStart"/>
      <w:r>
        <w:rPr>
          <w:rFonts w:ascii="宋体" w:hAnsi="宋体" w:hint="eastAsia"/>
          <w:sz w:val="24"/>
        </w:rPr>
        <w:t>滩中心</w:t>
      </w:r>
      <w:proofErr w:type="gramEnd"/>
      <w:r>
        <w:rPr>
          <w:rFonts w:ascii="宋体" w:hAnsi="宋体" w:hint="eastAsia"/>
          <w:sz w:val="24"/>
        </w:rPr>
        <w:t>58层</w:t>
      </w:r>
    </w:p>
    <w:p w14:paraId="5281630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成立时间：2018年10月25日</w:t>
      </w:r>
    </w:p>
    <w:p w14:paraId="48C1E2A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法定代表人：梁跃军</w:t>
      </w:r>
    </w:p>
    <w:p w14:paraId="5121275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注册资本：壹亿伍仟万元人民币</w:t>
      </w:r>
    </w:p>
    <w:p w14:paraId="7FEE118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电话：</w:t>
      </w:r>
      <w:r>
        <w:rPr>
          <w:rFonts w:ascii="宋体" w:hAnsi="宋体"/>
          <w:sz w:val="24"/>
        </w:rPr>
        <w:t>021-20305888</w:t>
      </w:r>
    </w:p>
    <w:p w14:paraId="6B24918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传真：0</w:t>
      </w:r>
      <w:r>
        <w:rPr>
          <w:rFonts w:ascii="宋体" w:hAnsi="宋体"/>
          <w:sz w:val="24"/>
        </w:rPr>
        <w:t>21</w:t>
      </w:r>
      <w:r>
        <w:rPr>
          <w:rFonts w:ascii="宋体" w:hAnsi="宋体" w:hint="eastAsia"/>
          <w:sz w:val="24"/>
        </w:rPr>
        <w:t>-</w:t>
      </w:r>
      <w:r>
        <w:rPr>
          <w:rFonts w:ascii="宋体" w:hAnsi="宋体"/>
          <w:sz w:val="24"/>
        </w:rPr>
        <w:t>20305999</w:t>
      </w:r>
    </w:p>
    <w:p w14:paraId="74F1097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联系人：潘约中</w:t>
      </w:r>
    </w:p>
    <w:p w14:paraId="5E05176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朱雀基金管理有限公司经中国证监会证监许可【2</w:t>
      </w:r>
      <w:r>
        <w:rPr>
          <w:rFonts w:ascii="宋体" w:hAnsi="宋体"/>
          <w:sz w:val="24"/>
        </w:rPr>
        <w:t>018</w:t>
      </w:r>
      <w:r>
        <w:rPr>
          <w:rFonts w:ascii="宋体" w:hAnsi="宋体" w:hint="eastAsia"/>
          <w:sz w:val="24"/>
        </w:rPr>
        <w:t>】1</w:t>
      </w:r>
      <w:r>
        <w:rPr>
          <w:rFonts w:ascii="宋体" w:hAnsi="宋体"/>
          <w:sz w:val="24"/>
        </w:rPr>
        <w:t>496</w:t>
      </w:r>
      <w:r>
        <w:rPr>
          <w:rFonts w:ascii="宋体" w:hAnsi="宋体" w:hint="eastAsia"/>
          <w:sz w:val="24"/>
        </w:rPr>
        <w:t>号文批准设立。</w:t>
      </w:r>
    </w:p>
    <w:p w14:paraId="0460EB3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股权结构：</w:t>
      </w:r>
    </w:p>
    <w:tbl>
      <w:tblPr>
        <w:tblW w:w="7919" w:type="dxa"/>
        <w:jc w:val="center"/>
        <w:tblLayout w:type="fixed"/>
        <w:tblLook w:val="04A0" w:firstRow="1" w:lastRow="0" w:firstColumn="1" w:lastColumn="0" w:noHBand="0" w:noVBand="1"/>
      </w:tblPr>
      <w:tblGrid>
        <w:gridCol w:w="5098"/>
        <w:gridCol w:w="1513"/>
        <w:gridCol w:w="1308"/>
      </w:tblGrid>
      <w:tr w:rsidR="008A6127" w14:paraId="049754E2" w14:textId="77777777">
        <w:trPr>
          <w:trHeight w:val="285"/>
          <w:jc w:val="center"/>
        </w:trPr>
        <w:tc>
          <w:tcPr>
            <w:tcW w:w="5098" w:type="dxa"/>
            <w:tcBorders>
              <w:top w:val="single" w:sz="4" w:space="0" w:color="auto"/>
              <w:left w:val="single" w:sz="4" w:space="0" w:color="auto"/>
              <w:bottom w:val="single" w:sz="4" w:space="0" w:color="auto"/>
              <w:right w:val="single" w:sz="4" w:space="0" w:color="auto"/>
            </w:tcBorders>
            <w:vAlign w:val="center"/>
          </w:tcPr>
          <w:p w14:paraId="152D9546" w14:textId="77777777" w:rsidR="008A6127" w:rsidRDefault="00437D9F">
            <w:pPr>
              <w:widowControl/>
              <w:jc w:val="center"/>
              <w:rPr>
                <w:rFonts w:ascii="宋体" w:hAnsi="宋体" w:cs="宋体"/>
                <w:color w:val="000000"/>
                <w:kern w:val="0"/>
                <w:sz w:val="24"/>
              </w:rPr>
            </w:pPr>
            <w:r>
              <w:rPr>
                <w:rFonts w:ascii="宋体" w:hAnsi="宋体" w:cs="宋体" w:hint="eastAsia"/>
                <w:color w:val="000000"/>
                <w:kern w:val="0"/>
                <w:sz w:val="24"/>
              </w:rPr>
              <w:t>股东名称</w:t>
            </w:r>
          </w:p>
        </w:tc>
        <w:tc>
          <w:tcPr>
            <w:tcW w:w="1513" w:type="dxa"/>
            <w:tcBorders>
              <w:top w:val="single" w:sz="4" w:space="0" w:color="auto"/>
              <w:left w:val="nil"/>
              <w:bottom w:val="single" w:sz="4" w:space="0" w:color="auto"/>
              <w:right w:val="single" w:sz="4" w:space="0" w:color="auto"/>
            </w:tcBorders>
            <w:vAlign w:val="center"/>
          </w:tcPr>
          <w:p w14:paraId="10C4598D" w14:textId="77777777" w:rsidR="008A6127" w:rsidRDefault="00437D9F">
            <w:pPr>
              <w:widowControl/>
              <w:jc w:val="center"/>
              <w:rPr>
                <w:rFonts w:ascii="宋体" w:hAnsi="宋体" w:cs="宋体"/>
                <w:color w:val="000000"/>
                <w:kern w:val="0"/>
                <w:sz w:val="24"/>
              </w:rPr>
            </w:pPr>
            <w:r>
              <w:rPr>
                <w:rFonts w:ascii="宋体" w:hAnsi="宋体" w:cs="宋体" w:hint="eastAsia"/>
                <w:color w:val="000000"/>
                <w:kern w:val="0"/>
                <w:sz w:val="24"/>
              </w:rPr>
              <w:t>出资额</w:t>
            </w:r>
          </w:p>
        </w:tc>
        <w:tc>
          <w:tcPr>
            <w:tcW w:w="1308" w:type="dxa"/>
            <w:tcBorders>
              <w:top w:val="single" w:sz="4" w:space="0" w:color="auto"/>
              <w:left w:val="nil"/>
              <w:bottom w:val="single" w:sz="4" w:space="0" w:color="auto"/>
              <w:right w:val="single" w:sz="4" w:space="0" w:color="auto"/>
            </w:tcBorders>
            <w:vAlign w:val="center"/>
          </w:tcPr>
          <w:p w14:paraId="57AC35C3" w14:textId="77777777" w:rsidR="008A6127" w:rsidRDefault="00437D9F">
            <w:pPr>
              <w:widowControl/>
              <w:jc w:val="center"/>
              <w:rPr>
                <w:rFonts w:ascii="宋体" w:hAnsi="宋体" w:cs="宋体"/>
                <w:color w:val="000000"/>
                <w:kern w:val="0"/>
                <w:sz w:val="24"/>
              </w:rPr>
            </w:pPr>
            <w:r>
              <w:rPr>
                <w:rFonts w:ascii="宋体" w:hAnsi="宋体" w:cs="宋体" w:hint="eastAsia"/>
                <w:color w:val="000000"/>
                <w:kern w:val="0"/>
                <w:sz w:val="24"/>
              </w:rPr>
              <w:t>出资比例</w:t>
            </w:r>
          </w:p>
        </w:tc>
      </w:tr>
      <w:tr w:rsidR="008A6127" w14:paraId="495817A8" w14:textId="77777777">
        <w:trPr>
          <w:trHeight w:val="285"/>
          <w:jc w:val="center"/>
        </w:trPr>
        <w:tc>
          <w:tcPr>
            <w:tcW w:w="5098" w:type="dxa"/>
            <w:tcBorders>
              <w:top w:val="nil"/>
              <w:left w:val="single" w:sz="4" w:space="0" w:color="auto"/>
              <w:bottom w:val="single" w:sz="4" w:space="0" w:color="auto"/>
              <w:right w:val="single" w:sz="4" w:space="0" w:color="auto"/>
            </w:tcBorders>
            <w:vAlign w:val="center"/>
          </w:tcPr>
          <w:p w14:paraId="3CA009D0" w14:textId="77777777" w:rsidR="008A6127" w:rsidRDefault="00437D9F">
            <w:pPr>
              <w:spacing w:beforeLines="25" w:before="78" w:line="360" w:lineRule="exact"/>
              <w:rPr>
                <w:rFonts w:ascii="宋体" w:hAnsi="宋体" w:cs="Arial"/>
                <w:color w:val="000000"/>
                <w:sz w:val="24"/>
              </w:rPr>
            </w:pPr>
            <w:r>
              <w:rPr>
                <w:rFonts w:ascii="宋体" w:hAnsi="宋体" w:cs="Arial" w:hint="eastAsia"/>
                <w:color w:val="000000"/>
                <w:sz w:val="24"/>
              </w:rPr>
              <w:t>朱雀股权投资管理有限公司</w:t>
            </w:r>
          </w:p>
        </w:tc>
        <w:tc>
          <w:tcPr>
            <w:tcW w:w="1513" w:type="dxa"/>
            <w:tcBorders>
              <w:top w:val="nil"/>
              <w:left w:val="nil"/>
              <w:bottom w:val="single" w:sz="4" w:space="0" w:color="auto"/>
              <w:right w:val="single" w:sz="4" w:space="0" w:color="auto"/>
            </w:tcBorders>
            <w:vAlign w:val="center"/>
          </w:tcPr>
          <w:p w14:paraId="62A554BD" w14:textId="77777777" w:rsidR="008A6127" w:rsidRDefault="00437D9F">
            <w:pPr>
              <w:spacing w:beforeLines="25" w:before="78" w:line="360" w:lineRule="exact"/>
              <w:jc w:val="center"/>
              <w:rPr>
                <w:rFonts w:ascii="宋体" w:hAnsi="宋体" w:cs="Arial"/>
                <w:color w:val="000000"/>
                <w:sz w:val="24"/>
              </w:rPr>
            </w:pPr>
            <w:r>
              <w:rPr>
                <w:rFonts w:ascii="宋体" w:hAnsi="宋体" w:cs="Arial" w:hint="eastAsia"/>
                <w:color w:val="000000"/>
                <w:sz w:val="24"/>
              </w:rPr>
              <w:t>9750万元</w:t>
            </w:r>
          </w:p>
        </w:tc>
        <w:tc>
          <w:tcPr>
            <w:tcW w:w="1308" w:type="dxa"/>
            <w:tcBorders>
              <w:top w:val="nil"/>
              <w:left w:val="nil"/>
              <w:bottom w:val="single" w:sz="4" w:space="0" w:color="auto"/>
              <w:right w:val="single" w:sz="4" w:space="0" w:color="auto"/>
            </w:tcBorders>
            <w:vAlign w:val="center"/>
          </w:tcPr>
          <w:p w14:paraId="7BB0D13D" w14:textId="77777777" w:rsidR="008A6127" w:rsidRDefault="00437D9F">
            <w:pPr>
              <w:spacing w:beforeLines="25" w:before="78" w:line="360" w:lineRule="exact"/>
              <w:jc w:val="center"/>
              <w:rPr>
                <w:rFonts w:ascii="宋体" w:hAnsi="宋体" w:cs="Arial"/>
                <w:color w:val="000000"/>
                <w:sz w:val="24"/>
              </w:rPr>
            </w:pPr>
            <w:r>
              <w:rPr>
                <w:rFonts w:ascii="宋体" w:hAnsi="宋体" w:cs="Arial"/>
                <w:color w:val="000000"/>
                <w:sz w:val="24"/>
              </w:rPr>
              <w:t>65%</w:t>
            </w:r>
          </w:p>
        </w:tc>
      </w:tr>
      <w:tr w:rsidR="008A6127" w14:paraId="3269E1D3" w14:textId="77777777">
        <w:trPr>
          <w:trHeight w:val="285"/>
          <w:jc w:val="center"/>
        </w:trPr>
        <w:tc>
          <w:tcPr>
            <w:tcW w:w="5098" w:type="dxa"/>
            <w:tcBorders>
              <w:top w:val="nil"/>
              <w:left w:val="single" w:sz="4" w:space="0" w:color="auto"/>
              <w:bottom w:val="single" w:sz="4" w:space="0" w:color="auto"/>
              <w:right w:val="single" w:sz="4" w:space="0" w:color="auto"/>
            </w:tcBorders>
            <w:vAlign w:val="center"/>
          </w:tcPr>
          <w:p w14:paraId="539063AB" w14:textId="77777777" w:rsidR="008A6127" w:rsidRDefault="00437D9F">
            <w:pPr>
              <w:spacing w:beforeLines="25" w:before="78" w:line="360" w:lineRule="exact"/>
              <w:rPr>
                <w:rFonts w:ascii="宋体" w:hAnsi="宋体" w:cs="Arial"/>
                <w:color w:val="000000"/>
                <w:sz w:val="24"/>
              </w:rPr>
            </w:pPr>
            <w:r>
              <w:rPr>
                <w:rFonts w:ascii="宋体" w:hAnsi="宋体" w:cs="Arial" w:hint="eastAsia"/>
                <w:color w:val="000000"/>
                <w:sz w:val="24"/>
              </w:rPr>
              <w:t>上海朱雀辛酉投资中心（有限合伙）</w:t>
            </w:r>
          </w:p>
        </w:tc>
        <w:tc>
          <w:tcPr>
            <w:tcW w:w="1513" w:type="dxa"/>
            <w:tcBorders>
              <w:top w:val="nil"/>
              <w:left w:val="nil"/>
              <w:bottom w:val="single" w:sz="4" w:space="0" w:color="auto"/>
              <w:right w:val="single" w:sz="4" w:space="0" w:color="auto"/>
            </w:tcBorders>
            <w:vAlign w:val="center"/>
          </w:tcPr>
          <w:p w14:paraId="654C7694" w14:textId="77777777" w:rsidR="008A6127" w:rsidRDefault="00437D9F">
            <w:pPr>
              <w:spacing w:beforeLines="25" w:before="78" w:line="360" w:lineRule="exact"/>
              <w:jc w:val="center"/>
              <w:rPr>
                <w:rFonts w:ascii="宋体" w:hAnsi="宋体" w:cs="Arial"/>
                <w:color w:val="000000"/>
                <w:sz w:val="24"/>
              </w:rPr>
            </w:pPr>
            <w:r>
              <w:rPr>
                <w:rFonts w:ascii="宋体" w:hAnsi="宋体" w:cs="Arial"/>
                <w:color w:val="000000"/>
                <w:sz w:val="24"/>
              </w:rPr>
              <w:t>5152.5</w:t>
            </w:r>
            <w:r>
              <w:rPr>
                <w:rFonts w:ascii="宋体" w:hAnsi="宋体" w:cs="Arial" w:hint="eastAsia"/>
                <w:color w:val="000000"/>
                <w:sz w:val="24"/>
              </w:rPr>
              <w:t>万元</w:t>
            </w:r>
          </w:p>
        </w:tc>
        <w:tc>
          <w:tcPr>
            <w:tcW w:w="1308" w:type="dxa"/>
            <w:tcBorders>
              <w:top w:val="nil"/>
              <w:left w:val="nil"/>
              <w:bottom w:val="single" w:sz="4" w:space="0" w:color="auto"/>
              <w:right w:val="single" w:sz="4" w:space="0" w:color="auto"/>
            </w:tcBorders>
            <w:vAlign w:val="center"/>
          </w:tcPr>
          <w:p w14:paraId="416DF557" w14:textId="77777777" w:rsidR="008A6127" w:rsidRDefault="00437D9F">
            <w:pPr>
              <w:spacing w:beforeLines="25" w:before="78" w:line="360" w:lineRule="exact"/>
              <w:jc w:val="center"/>
              <w:rPr>
                <w:rFonts w:ascii="宋体" w:hAnsi="宋体" w:cs="Arial"/>
                <w:color w:val="000000"/>
                <w:sz w:val="24"/>
              </w:rPr>
            </w:pPr>
            <w:r>
              <w:rPr>
                <w:rFonts w:ascii="宋体" w:hAnsi="宋体" w:cs="Arial"/>
                <w:color w:val="000000"/>
                <w:sz w:val="24"/>
              </w:rPr>
              <w:t>34.35%</w:t>
            </w:r>
          </w:p>
        </w:tc>
      </w:tr>
      <w:tr w:rsidR="008A6127" w14:paraId="72F43BDA" w14:textId="77777777">
        <w:trPr>
          <w:trHeight w:val="285"/>
          <w:jc w:val="center"/>
        </w:trPr>
        <w:tc>
          <w:tcPr>
            <w:tcW w:w="5098" w:type="dxa"/>
            <w:tcBorders>
              <w:top w:val="nil"/>
              <w:left w:val="single" w:sz="4" w:space="0" w:color="auto"/>
              <w:bottom w:val="single" w:sz="4" w:space="0" w:color="auto"/>
              <w:right w:val="single" w:sz="4" w:space="0" w:color="auto"/>
            </w:tcBorders>
            <w:vAlign w:val="center"/>
          </w:tcPr>
          <w:p w14:paraId="23091F9D" w14:textId="77777777" w:rsidR="008A6127" w:rsidRDefault="00437D9F">
            <w:pPr>
              <w:spacing w:beforeLines="25" w:before="78" w:line="360" w:lineRule="exact"/>
              <w:rPr>
                <w:rFonts w:ascii="宋体" w:hAnsi="宋体" w:cs="Arial"/>
                <w:color w:val="000000"/>
                <w:sz w:val="24"/>
              </w:rPr>
            </w:pPr>
            <w:r>
              <w:rPr>
                <w:rFonts w:ascii="宋体" w:hAnsi="宋体" w:cs="Arial" w:hint="eastAsia"/>
                <w:color w:val="000000"/>
                <w:sz w:val="24"/>
              </w:rPr>
              <w:t>上海朱雀戊戌企业管理合伙企业（有限合伙）</w:t>
            </w:r>
          </w:p>
        </w:tc>
        <w:tc>
          <w:tcPr>
            <w:tcW w:w="1513" w:type="dxa"/>
            <w:tcBorders>
              <w:top w:val="nil"/>
              <w:left w:val="nil"/>
              <w:bottom w:val="single" w:sz="4" w:space="0" w:color="auto"/>
              <w:right w:val="single" w:sz="4" w:space="0" w:color="auto"/>
            </w:tcBorders>
            <w:vAlign w:val="center"/>
          </w:tcPr>
          <w:p w14:paraId="300E9A36" w14:textId="77777777" w:rsidR="008A6127" w:rsidRDefault="00437D9F">
            <w:pPr>
              <w:spacing w:beforeLines="25" w:before="78" w:line="360" w:lineRule="exact"/>
              <w:jc w:val="center"/>
              <w:rPr>
                <w:rFonts w:ascii="宋体" w:hAnsi="宋体" w:cs="Arial"/>
                <w:color w:val="000000"/>
                <w:sz w:val="24"/>
              </w:rPr>
            </w:pPr>
            <w:r>
              <w:rPr>
                <w:rFonts w:ascii="宋体" w:hAnsi="宋体" w:cs="Arial"/>
                <w:color w:val="000000"/>
                <w:sz w:val="24"/>
              </w:rPr>
              <w:t>97.5</w:t>
            </w:r>
            <w:r>
              <w:rPr>
                <w:rFonts w:ascii="宋体" w:hAnsi="宋体" w:cs="Arial" w:hint="eastAsia"/>
                <w:color w:val="000000"/>
                <w:sz w:val="24"/>
              </w:rPr>
              <w:t>万元</w:t>
            </w:r>
          </w:p>
        </w:tc>
        <w:tc>
          <w:tcPr>
            <w:tcW w:w="1308" w:type="dxa"/>
            <w:tcBorders>
              <w:top w:val="nil"/>
              <w:left w:val="nil"/>
              <w:bottom w:val="single" w:sz="4" w:space="0" w:color="auto"/>
              <w:right w:val="single" w:sz="4" w:space="0" w:color="auto"/>
            </w:tcBorders>
            <w:vAlign w:val="center"/>
          </w:tcPr>
          <w:p w14:paraId="3B3ECABB" w14:textId="77777777" w:rsidR="008A6127" w:rsidRDefault="00437D9F">
            <w:pPr>
              <w:spacing w:beforeLines="25" w:before="78" w:line="360" w:lineRule="exact"/>
              <w:jc w:val="center"/>
              <w:rPr>
                <w:rFonts w:ascii="宋体" w:hAnsi="宋体" w:cs="Arial"/>
                <w:color w:val="000000"/>
                <w:sz w:val="24"/>
              </w:rPr>
            </w:pPr>
            <w:r>
              <w:rPr>
                <w:rFonts w:ascii="宋体" w:hAnsi="宋体" w:cs="Arial"/>
                <w:color w:val="000000"/>
                <w:sz w:val="24"/>
              </w:rPr>
              <w:t>0.65%</w:t>
            </w:r>
          </w:p>
        </w:tc>
      </w:tr>
      <w:bookmarkEnd w:id="75"/>
    </w:tbl>
    <w:p w14:paraId="1EA904D2" w14:textId="77777777" w:rsidR="008A6127" w:rsidRDefault="008A6127">
      <w:pPr>
        <w:snapToGrid w:val="0"/>
        <w:spacing w:line="360" w:lineRule="auto"/>
        <w:ind w:firstLineChars="200" w:firstLine="480"/>
        <w:rPr>
          <w:rFonts w:ascii="宋体" w:hAnsi="宋体"/>
          <w:sz w:val="24"/>
        </w:rPr>
      </w:pPr>
    </w:p>
    <w:p w14:paraId="552AB20C" w14:textId="77777777" w:rsidR="008A6127" w:rsidRDefault="00437D9F">
      <w:pPr>
        <w:adjustRightInd w:val="0"/>
        <w:snapToGrid w:val="0"/>
        <w:spacing w:line="360" w:lineRule="auto"/>
        <w:ind w:firstLineChars="200" w:firstLine="482"/>
        <w:rPr>
          <w:rFonts w:ascii="Cambria" w:hAnsi="Cambria"/>
          <w:b/>
          <w:bCs/>
          <w:sz w:val="24"/>
        </w:rPr>
      </w:pPr>
      <w:r>
        <w:rPr>
          <w:rFonts w:ascii="Cambria" w:hAnsi="Cambria" w:hint="eastAsia"/>
          <w:b/>
          <w:bCs/>
          <w:sz w:val="24"/>
        </w:rPr>
        <w:t>（二）基金管理人主要人员情况</w:t>
      </w:r>
    </w:p>
    <w:p w14:paraId="4E989F1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1、董事会成员</w:t>
      </w:r>
    </w:p>
    <w:p w14:paraId="56AE82A2" w14:textId="77777777" w:rsidR="0086694B" w:rsidRPr="00993F59" w:rsidRDefault="0086694B" w:rsidP="0086694B">
      <w:pPr>
        <w:snapToGrid w:val="0"/>
        <w:spacing w:line="360" w:lineRule="auto"/>
        <w:ind w:firstLineChars="200" w:firstLine="480"/>
        <w:rPr>
          <w:rFonts w:ascii="宋体" w:hAnsi="宋体"/>
          <w:sz w:val="24"/>
        </w:rPr>
      </w:pPr>
      <w:bookmarkStart w:id="77" w:name="_Hlk43711765"/>
      <w:r w:rsidRPr="00993F59">
        <w:rPr>
          <w:rFonts w:ascii="宋体" w:hAnsi="宋体" w:hint="eastAsia"/>
          <w:sz w:val="24"/>
        </w:rPr>
        <w:t>董事长史雅茹女士，1973年出生，中国籍，西北大学经济学硕士。曾主要任职于西安经济技术开发区管委会财政局（金融办）、上海朱雀资产管理有限公司、上海朱雀枫域投资有限公司和西安朱雀嬴投资管理有限公司。现兼任朱雀股权投资管理有限公司董事，西安朱雀嬴投资管理有限公司总经理、财务负责人。</w:t>
      </w:r>
    </w:p>
    <w:p w14:paraId="7FD6567E" w14:textId="77777777" w:rsidR="0086694B" w:rsidRPr="00993F59" w:rsidRDefault="0086694B" w:rsidP="0086694B">
      <w:pPr>
        <w:snapToGrid w:val="0"/>
        <w:spacing w:line="360" w:lineRule="auto"/>
        <w:ind w:firstLineChars="200" w:firstLine="480"/>
        <w:rPr>
          <w:rFonts w:ascii="宋体" w:hAnsi="宋体"/>
          <w:sz w:val="24"/>
        </w:rPr>
      </w:pPr>
      <w:r w:rsidRPr="00993F59">
        <w:rPr>
          <w:rFonts w:ascii="宋体" w:hAnsi="宋体" w:hint="eastAsia"/>
          <w:sz w:val="24"/>
        </w:rPr>
        <w:t>董事梁跃军先生，1971年出生，中国籍，中欧国际工商学院EMBA，北京大学经济学硕士。曾先后任职于招商银行股份有限公司北京分行、西南证券股份有限公司、大通证券股份有限公司、西部证券股份有限公司、上海朱雀投资发展中心（有限合伙）和朱雀股权投资管理有限公司。2014年当选中国证监会第五届并购重组委委员，2016年当选中国证监会第六届并购重组委委员。现任朱雀基金</w:t>
      </w:r>
      <w:r w:rsidRPr="00993F59">
        <w:rPr>
          <w:rFonts w:ascii="宋体" w:hAnsi="宋体" w:hint="eastAsia"/>
          <w:sz w:val="24"/>
        </w:rPr>
        <w:lastRenderedPageBreak/>
        <w:t>总经理</w:t>
      </w:r>
      <w:proofErr w:type="gramStart"/>
      <w:r w:rsidRPr="00993F59">
        <w:rPr>
          <w:rFonts w:ascii="宋体" w:hAnsi="宋体" w:hint="eastAsia"/>
          <w:sz w:val="24"/>
        </w:rPr>
        <w:t>兼公募投资</w:t>
      </w:r>
      <w:proofErr w:type="gramEnd"/>
      <w:r w:rsidRPr="00993F59">
        <w:rPr>
          <w:rFonts w:ascii="宋体" w:hAnsi="宋体" w:hint="eastAsia"/>
          <w:sz w:val="24"/>
        </w:rPr>
        <w:t>部总经理、投资总监。</w:t>
      </w:r>
    </w:p>
    <w:p w14:paraId="5CC11137" w14:textId="77777777" w:rsidR="0086694B" w:rsidRPr="00993F59" w:rsidRDefault="0086694B" w:rsidP="0086694B">
      <w:pPr>
        <w:snapToGrid w:val="0"/>
        <w:spacing w:line="360" w:lineRule="auto"/>
        <w:ind w:firstLineChars="200" w:firstLine="480"/>
        <w:rPr>
          <w:rFonts w:ascii="宋体" w:hAnsi="宋体"/>
          <w:sz w:val="24"/>
        </w:rPr>
      </w:pPr>
      <w:r w:rsidRPr="00993F59">
        <w:rPr>
          <w:rFonts w:ascii="宋体" w:hAnsi="宋体" w:hint="eastAsia"/>
          <w:sz w:val="24"/>
        </w:rPr>
        <w:t>董事张劲骐先生，1989年出生，中国籍，特拉华大学金融学硕士。曾主要任职于华创证券和朱雀股权投资管理有限公司。现任朱雀基金副总经理兼专户投资部总经理、投资总监。</w:t>
      </w:r>
    </w:p>
    <w:p w14:paraId="75BE451E" w14:textId="77777777" w:rsidR="0086694B" w:rsidRPr="00993F59" w:rsidRDefault="0086694B" w:rsidP="0086694B">
      <w:pPr>
        <w:snapToGrid w:val="0"/>
        <w:spacing w:line="360" w:lineRule="auto"/>
        <w:ind w:firstLineChars="200" w:firstLine="480"/>
        <w:rPr>
          <w:rFonts w:ascii="宋体" w:hAnsi="宋体"/>
          <w:sz w:val="24"/>
        </w:rPr>
      </w:pPr>
      <w:r w:rsidRPr="00993F59">
        <w:rPr>
          <w:rFonts w:ascii="宋体" w:hAnsi="宋体" w:hint="eastAsia"/>
          <w:sz w:val="24"/>
        </w:rPr>
        <w:t>独立董事罗会远先生，1966年出生，中国籍，中国人民大学法学院硕士。先后曾任职于中国人民解放军海军士官学校、中国人民解放军海军政治部办公室和北京市天</w:t>
      </w:r>
      <w:proofErr w:type="gramStart"/>
      <w:r w:rsidRPr="00993F59">
        <w:rPr>
          <w:rFonts w:ascii="宋体" w:hAnsi="宋体" w:hint="eastAsia"/>
          <w:sz w:val="24"/>
        </w:rPr>
        <w:t>银律师</w:t>
      </w:r>
      <w:proofErr w:type="gramEnd"/>
      <w:r w:rsidRPr="00993F59">
        <w:rPr>
          <w:rFonts w:ascii="宋体" w:hAnsi="宋体" w:hint="eastAsia"/>
          <w:sz w:val="24"/>
        </w:rPr>
        <w:t>事务所律师。现任北京海润天睿律师事务所管委会委员、高级合伙人。</w:t>
      </w:r>
    </w:p>
    <w:p w14:paraId="1F6E7D72" w14:textId="77777777" w:rsidR="0086694B" w:rsidRPr="00993F59" w:rsidRDefault="0086694B" w:rsidP="0086694B">
      <w:pPr>
        <w:snapToGrid w:val="0"/>
        <w:spacing w:line="360" w:lineRule="auto"/>
        <w:ind w:firstLineChars="200" w:firstLine="480"/>
        <w:rPr>
          <w:rFonts w:ascii="宋体" w:hAnsi="宋体"/>
          <w:sz w:val="24"/>
        </w:rPr>
      </w:pPr>
      <w:r w:rsidRPr="00993F59">
        <w:rPr>
          <w:rFonts w:ascii="宋体" w:hAnsi="宋体" w:hint="eastAsia"/>
          <w:sz w:val="24"/>
        </w:rPr>
        <w:t>独立董事王越（WANG YUE）女士，1976年出生，美国俄亥俄州立大学经济学硕士、马里兰大学史密斯商学院金融学博士。自2005年6月起在美国明尼苏达大学工作，现任美国明尼苏达大学金融系教授、系主任，《Journal of Corporate Finance》期刊主编。</w:t>
      </w:r>
    </w:p>
    <w:p w14:paraId="7FFF77D4" w14:textId="05FE671E" w:rsidR="008A6127" w:rsidRDefault="0086694B">
      <w:pPr>
        <w:snapToGrid w:val="0"/>
        <w:spacing w:line="360" w:lineRule="auto"/>
        <w:ind w:firstLineChars="200" w:firstLine="480"/>
        <w:rPr>
          <w:rFonts w:ascii="宋体" w:hAnsi="宋体"/>
          <w:sz w:val="24"/>
        </w:rPr>
      </w:pPr>
      <w:r w:rsidRPr="00993F59">
        <w:rPr>
          <w:rFonts w:ascii="宋体" w:hAnsi="宋体" w:hint="eastAsia"/>
          <w:sz w:val="24"/>
        </w:rPr>
        <w:t>独立董事王义平先生，1962年出生，中国籍，西安公路学院管理系（现长安大学）工学学士。先后曾任职于长沙交通学院（现长沙理工大学）、西安统计学院（现西安财经学院）、陕西国际信托股份有限公司、长城证券有限责任公司和长安国际信托股份有限公司。现已退休。</w:t>
      </w:r>
      <w:bookmarkEnd w:id="77"/>
    </w:p>
    <w:p w14:paraId="06A50FF5" w14:textId="77777777" w:rsidR="008A6127" w:rsidRDefault="00437D9F">
      <w:pPr>
        <w:numPr>
          <w:ilvl w:val="0"/>
          <w:numId w:val="25"/>
        </w:numPr>
        <w:snapToGrid w:val="0"/>
        <w:spacing w:line="360" w:lineRule="auto"/>
        <w:ind w:firstLineChars="200" w:firstLine="480"/>
        <w:rPr>
          <w:rFonts w:ascii="宋体" w:hAnsi="宋体"/>
          <w:sz w:val="24"/>
        </w:rPr>
      </w:pPr>
      <w:bookmarkStart w:id="78" w:name="_Hlk43711789"/>
      <w:r>
        <w:rPr>
          <w:rFonts w:ascii="宋体" w:hAnsi="宋体" w:hint="eastAsia"/>
          <w:sz w:val="24"/>
          <w:lang w:eastAsia="zh-Hans"/>
        </w:rPr>
        <w:t>执行</w:t>
      </w:r>
      <w:r>
        <w:rPr>
          <w:rFonts w:ascii="宋体" w:hAnsi="宋体" w:hint="eastAsia"/>
          <w:sz w:val="24"/>
        </w:rPr>
        <w:t>监事</w:t>
      </w:r>
    </w:p>
    <w:p w14:paraId="0561DAF0" w14:textId="487C55B0" w:rsidR="008A6127" w:rsidRPr="00A36646" w:rsidRDefault="0086694B" w:rsidP="00A36646">
      <w:pPr>
        <w:snapToGrid w:val="0"/>
        <w:spacing w:line="360" w:lineRule="auto"/>
        <w:ind w:firstLineChars="200" w:firstLine="480"/>
        <w:rPr>
          <w:rFonts w:ascii="宋体" w:hAnsi="宋体"/>
          <w:sz w:val="24"/>
        </w:rPr>
      </w:pPr>
      <w:r w:rsidRPr="006E1E07">
        <w:rPr>
          <w:rFonts w:ascii="宋体" w:hAnsi="宋体" w:hint="eastAsia"/>
          <w:sz w:val="24"/>
        </w:rPr>
        <w:t>监事李吉先生，1979 年出生，中国籍，学士。曾先后任职于申银万国证券股份有限公司、西部证券股份有限公司和朱雀股权投资管理有限公司。现任朱雀基金交易运行部总经理。</w:t>
      </w:r>
    </w:p>
    <w:p w14:paraId="1618CDC1" w14:textId="77777777" w:rsidR="008A6127" w:rsidRDefault="00437D9F">
      <w:pPr>
        <w:snapToGrid w:val="0"/>
        <w:spacing w:line="360" w:lineRule="auto"/>
        <w:ind w:firstLineChars="200" w:firstLine="480"/>
        <w:rPr>
          <w:rFonts w:ascii="宋体" w:hAnsi="宋体"/>
          <w:sz w:val="24"/>
        </w:rPr>
      </w:pPr>
      <w:bookmarkStart w:id="79" w:name="_Hlk43711804"/>
      <w:bookmarkEnd w:id="78"/>
      <w:r>
        <w:rPr>
          <w:rFonts w:ascii="宋体" w:hAnsi="宋体" w:hint="eastAsia"/>
          <w:sz w:val="24"/>
        </w:rPr>
        <w:t>3、公司高级管理人员</w:t>
      </w:r>
    </w:p>
    <w:p w14:paraId="5420D620" w14:textId="77777777" w:rsidR="0086694B" w:rsidRPr="006E1E07" w:rsidRDefault="0086694B" w:rsidP="0086694B">
      <w:pPr>
        <w:snapToGrid w:val="0"/>
        <w:spacing w:line="360" w:lineRule="auto"/>
        <w:ind w:firstLineChars="200" w:firstLine="480"/>
        <w:rPr>
          <w:rFonts w:ascii="宋体" w:hAnsi="宋体"/>
          <w:sz w:val="24"/>
        </w:rPr>
      </w:pPr>
      <w:r w:rsidRPr="006E1E07">
        <w:rPr>
          <w:rFonts w:ascii="宋体" w:hAnsi="宋体" w:hint="eastAsia"/>
          <w:sz w:val="24"/>
        </w:rPr>
        <w:t>总经理梁跃军先生，1971年出生，中国籍，中欧国际工商学院EMBA，北京大学经济学硕士。曾先后任职于招商银行股份有限公司北京分行、西南证券股份有限公司、大通证券股份有限公司、西部证券股份有限公司、上海朱雀投资发展中心（有限合伙）和朱雀股权投资管理有限公司。2014年当选中国证监会第五届并购重组委委员，2016年当选中国证监会第六届并购重组委委员。现任朱雀基金总经理</w:t>
      </w:r>
      <w:proofErr w:type="gramStart"/>
      <w:r w:rsidRPr="006E1E07">
        <w:rPr>
          <w:rFonts w:ascii="宋体" w:hAnsi="宋体" w:hint="eastAsia"/>
          <w:sz w:val="24"/>
        </w:rPr>
        <w:t>兼公募投资</w:t>
      </w:r>
      <w:proofErr w:type="gramEnd"/>
      <w:r w:rsidRPr="006E1E07">
        <w:rPr>
          <w:rFonts w:ascii="宋体" w:hAnsi="宋体" w:hint="eastAsia"/>
          <w:sz w:val="24"/>
        </w:rPr>
        <w:t>部总经理、投资总监。</w:t>
      </w:r>
    </w:p>
    <w:p w14:paraId="0AC37287" w14:textId="77777777" w:rsidR="0086694B" w:rsidRPr="006E1E07" w:rsidRDefault="0086694B" w:rsidP="0086694B">
      <w:pPr>
        <w:snapToGrid w:val="0"/>
        <w:spacing w:line="360" w:lineRule="auto"/>
        <w:ind w:firstLineChars="200" w:firstLine="480"/>
        <w:rPr>
          <w:rFonts w:ascii="宋体" w:hAnsi="宋体"/>
          <w:sz w:val="24"/>
        </w:rPr>
      </w:pPr>
      <w:r w:rsidRPr="006E1E07">
        <w:rPr>
          <w:rFonts w:ascii="宋体" w:hAnsi="宋体" w:hint="eastAsia"/>
          <w:sz w:val="24"/>
        </w:rPr>
        <w:t>督察长赵艳女士，1989年出生，中国籍，同济大学工程硕士。曾任职于朱雀股权投资管理有限公司。现任朱雀基金督察长。</w:t>
      </w:r>
    </w:p>
    <w:p w14:paraId="070D63E9" w14:textId="77777777" w:rsidR="0086694B" w:rsidRPr="006E1E07" w:rsidRDefault="0086694B" w:rsidP="0086694B">
      <w:pPr>
        <w:snapToGrid w:val="0"/>
        <w:spacing w:line="360" w:lineRule="auto"/>
        <w:ind w:firstLineChars="200" w:firstLine="480"/>
        <w:rPr>
          <w:rFonts w:ascii="宋体" w:hAnsi="宋体"/>
          <w:sz w:val="24"/>
        </w:rPr>
      </w:pPr>
      <w:r w:rsidRPr="006E1E07">
        <w:rPr>
          <w:rFonts w:ascii="宋体" w:hAnsi="宋体" w:hint="eastAsia"/>
          <w:sz w:val="24"/>
        </w:rPr>
        <w:t>副总经理张劲骐先生，1989年出生，中国籍，特拉华大学金融学硕士。曾主</w:t>
      </w:r>
      <w:r w:rsidRPr="006E1E07">
        <w:rPr>
          <w:rFonts w:ascii="宋体" w:hAnsi="宋体" w:hint="eastAsia"/>
          <w:sz w:val="24"/>
        </w:rPr>
        <w:lastRenderedPageBreak/>
        <w:t>要任职于华创证券和朱雀股权投资管理有限公司。现任朱雀基金副总经理兼专户投资部总经理、投资总监。</w:t>
      </w:r>
    </w:p>
    <w:p w14:paraId="27BEA455" w14:textId="77777777" w:rsidR="0086694B" w:rsidRPr="006E1E07" w:rsidRDefault="0086694B" w:rsidP="0086694B">
      <w:pPr>
        <w:snapToGrid w:val="0"/>
        <w:spacing w:line="360" w:lineRule="auto"/>
        <w:ind w:firstLineChars="200" w:firstLine="480"/>
        <w:rPr>
          <w:rFonts w:ascii="宋体" w:hAnsi="宋体"/>
          <w:sz w:val="24"/>
        </w:rPr>
      </w:pPr>
      <w:r w:rsidRPr="006E1E07">
        <w:rPr>
          <w:rFonts w:ascii="宋体" w:hAnsi="宋体" w:hint="eastAsia"/>
          <w:sz w:val="24"/>
        </w:rPr>
        <w:t>副总经理田芸菁女士，1982年出生，中国籍，复旦大学金融学硕士。曾主要任职于上海朱雀投资发展中心（有限合伙）。现任朱雀基金副总经理、上海分公司负责人兼研究部总经理。</w:t>
      </w:r>
    </w:p>
    <w:p w14:paraId="57B31DAE" w14:textId="77777777" w:rsidR="0086694B" w:rsidRPr="006E1E07" w:rsidRDefault="0086694B" w:rsidP="0086694B">
      <w:pPr>
        <w:snapToGrid w:val="0"/>
        <w:spacing w:line="360" w:lineRule="auto"/>
        <w:ind w:firstLineChars="200" w:firstLine="480"/>
        <w:rPr>
          <w:rFonts w:ascii="宋体" w:hAnsi="宋体"/>
          <w:sz w:val="24"/>
        </w:rPr>
      </w:pPr>
      <w:r w:rsidRPr="006E1E07">
        <w:rPr>
          <w:rFonts w:ascii="宋体" w:hAnsi="宋体" w:hint="eastAsia"/>
          <w:sz w:val="24"/>
        </w:rPr>
        <w:t>副总经理郭威先生，1986年出生，中国籍，上海财经大学工商管理硕士。曾任职于</w:t>
      </w:r>
      <w:proofErr w:type="gramStart"/>
      <w:r w:rsidRPr="006E1E07">
        <w:rPr>
          <w:rFonts w:ascii="宋体" w:hAnsi="宋体" w:hint="eastAsia"/>
          <w:sz w:val="24"/>
        </w:rPr>
        <w:t>汇添富基金</w:t>
      </w:r>
      <w:proofErr w:type="gramEnd"/>
      <w:r w:rsidRPr="006E1E07">
        <w:rPr>
          <w:rFonts w:ascii="宋体" w:hAnsi="宋体" w:hint="eastAsia"/>
          <w:sz w:val="24"/>
        </w:rPr>
        <w:t xml:space="preserve">管理有限公司和华商基金管理有限公司。现任朱雀基金副总经理。 </w:t>
      </w:r>
    </w:p>
    <w:p w14:paraId="0D867D06" w14:textId="77777777" w:rsidR="0086694B" w:rsidRPr="006E1E07" w:rsidRDefault="0086694B" w:rsidP="0086694B">
      <w:pPr>
        <w:snapToGrid w:val="0"/>
        <w:spacing w:line="360" w:lineRule="auto"/>
        <w:ind w:firstLineChars="200" w:firstLine="480"/>
        <w:rPr>
          <w:rFonts w:ascii="宋体" w:hAnsi="宋体"/>
          <w:sz w:val="24"/>
        </w:rPr>
      </w:pPr>
      <w:r w:rsidRPr="006E1E07">
        <w:rPr>
          <w:rFonts w:ascii="宋体" w:hAnsi="宋体" w:hint="eastAsia"/>
          <w:sz w:val="24"/>
        </w:rPr>
        <w:t>副总经理潘约中先生，1988年出生，中国籍，马里兰大学帕克分校金融学硕士。曾先后任职于上海朱雀投资发展中心（有限合伙）和朱雀股权投资管理有限公司。现任朱雀基金副总经理。</w:t>
      </w:r>
    </w:p>
    <w:p w14:paraId="7B76F65D" w14:textId="77777777" w:rsidR="0086694B" w:rsidRPr="006E1E07" w:rsidRDefault="0086694B" w:rsidP="0086694B">
      <w:pPr>
        <w:snapToGrid w:val="0"/>
        <w:spacing w:line="360" w:lineRule="auto"/>
        <w:ind w:firstLineChars="200" w:firstLine="480"/>
        <w:rPr>
          <w:rFonts w:ascii="宋体" w:hAnsi="宋体"/>
          <w:sz w:val="24"/>
        </w:rPr>
      </w:pPr>
      <w:r w:rsidRPr="006E1E07">
        <w:rPr>
          <w:rFonts w:ascii="宋体" w:hAnsi="宋体" w:hint="eastAsia"/>
          <w:sz w:val="24"/>
        </w:rPr>
        <w:t>副总经理赵霞女士，1972年出生，中国籍，香港理工大学工商管理硕士。曾主要任职于岳华会计师事务所、西部证券股份有限公司、万隆会计师事务所、</w:t>
      </w:r>
      <w:proofErr w:type="gramStart"/>
      <w:r w:rsidRPr="006E1E07">
        <w:rPr>
          <w:rFonts w:ascii="宋体" w:hAnsi="宋体" w:hint="eastAsia"/>
          <w:sz w:val="24"/>
        </w:rPr>
        <w:t>信永中和</w:t>
      </w:r>
      <w:proofErr w:type="gramEnd"/>
      <w:r w:rsidRPr="006E1E07">
        <w:rPr>
          <w:rFonts w:ascii="宋体" w:hAnsi="宋体" w:hint="eastAsia"/>
          <w:sz w:val="24"/>
        </w:rPr>
        <w:t xml:space="preserve">会计师事务所、正源房地产开发有限公司（北京）、北京银通投资咨询有限公司、朱雀股权投资管理有限公司和上海朱雀资产管理有限公司。现任朱雀基金副总经理。 </w:t>
      </w:r>
    </w:p>
    <w:p w14:paraId="0CC8C4BB" w14:textId="7BC88714" w:rsidR="008A6127" w:rsidRDefault="0086694B">
      <w:pPr>
        <w:snapToGrid w:val="0"/>
        <w:spacing w:line="360" w:lineRule="auto"/>
        <w:ind w:firstLineChars="200" w:firstLine="480"/>
        <w:rPr>
          <w:rFonts w:ascii="宋体" w:hAnsi="宋体"/>
          <w:sz w:val="24"/>
        </w:rPr>
      </w:pPr>
      <w:r w:rsidRPr="006E1E07">
        <w:rPr>
          <w:rFonts w:ascii="宋体" w:hAnsi="宋体" w:hint="eastAsia"/>
          <w:sz w:val="24"/>
        </w:rPr>
        <w:t>首席信息官许卓民先生，1982年出生，中国籍，同济大学工商管理硕士。曾主要任职于上海华鼎财金软件有限公司、</w:t>
      </w:r>
      <w:proofErr w:type="gramStart"/>
      <w:r w:rsidRPr="006E1E07">
        <w:rPr>
          <w:rFonts w:ascii="宋体" w:hAnsi="宋体" w:hint="eastAsia"/>
          <w:sz w:val="24"/>
        </w:rPr>
        <w:t>汇添富基金</w:t>
      </w:r>
      <w:proofErr w:type="gramEnd"/>
      <w:r w:rsidRPr="006E1E07">
        <w:rPr>
          <w:rFonts w:ascii="宋体" w:hAnsi="宋体" w:hint="eastAsia"/>
          <w:sz w:val="24"/>
        </w:rPr>
        <w:t>管理有限公司、</w:t>
      </w:r>
      <w:proofErr w:type="gramStart"/>
      <w:r w:rsidRPr="006E1E07">
        <w:rPr>
          <w:rFonts w:ascii="宋体" w:hAnsi="宋体" w:hint="eastAsia"/>
          <w:sz w:val="24"/>
        </w:rPr>
        <w:t>泰信基</w:t>
      </w:r>
      <w:proofErr w:type="gramEnd"/>
      <w:r w:rsidRPr="006E1E07">
        <w:rPr>
          <w:rFonts w:ascii="宋体" w:hAnsi="宋体" w:hint="eastAsia"/>
          <w:sz w:val="24"/>
        </w:rPr>
        <w:t>金管理有限公司、东亚前海证券有限责任公司和朱雀股权投资管理有限公司。现任朱雀基金首席信息官。</w:t>
      </w:r>
    </w:p>
    <w:p w14:paraId="0D3004A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4、基金经理</w:t>
      </w:r>
      <w:bookmarkEnd w:id="79"/>
    </w:p>
    <w:p w14:paraId="04211877" w14:textId="0C7D66A9" w:rsidR="00017BCB" w:rsidRDefault="00017BCB">
      <w:pPr>
        <w:snapToGrid w:val="0"/>
        <w:spacing w:line="360" w:lineRule="auto"/>
        <w:ind w:firstLineChars="200" w:firstLine="480"/>
        <w:rPr>
          <w:rFonts w:ascii="宋体" w:hAnsi="宋体"/>
          <w:sz w:val="24"/>
        </w:rPr>
      </w:pPr>
      <w:r w:rsidRPr="00017BCB">
        <w:rPr>
          <w:rFonts w:ascii="宋体" w:hAnsi="宋体" w:hint="eastAsia"/>
          <w:sz w:val="24"/>
        </w:rPr>
        <w:t>梁跃军先生，1971年出生，中国籍，中欧国际工商学院EMBA，北京大学经济学硕士。曾先后任职于招商银行股份有限公司北京分行</w:t>
      </w:r>
      <w:r w:rsidR="00483B79">
        <w:rPr>
          <w:rFonts w:ascii="宋体" w:hAnsi="宋体" w:hint="eastAsia"/>
          <w:sz w:val="24"/>
        </w:rPr>
        <w:t>、</w:t>
      </w:r>
      <w:r w:rsidRPr="00017BCB">
        <w:rPr>
          <w:rFonts w:ascii="宋体" w:hAnsi="宋体" w:hint="eastAsia"/>
          <w:sz w:val="24"/>
        </w:rPr>
        <w:t>西南证券股份有限公司</w:t>
      </w:r>
      <w:r w:rsidR="00483B79">
        <w:rPr>
          <w:rFonts w:ascii="宋体" w:hAnsi="宋体" w:hint="eastAsia"/>
          <w:sz w:val="24"/>
        </w:rPr>
        <w:t>、</w:t>
      </w:r>
      <w:r w:rsidRPr="00017BCB">
        <w:rPr>
          <w:rFonts w:ascii="宋体" w:hAnsi="宋体" w:hint="eastAsia"/>
          <w:sz w:val="24"/>
        </w:rPr>
        <w:t>大通证券股份有限公司</w:t>
      </w:r>
      <w:r w:rsidR="00483B79">
        <w:rPr>
          <w:rFonts w:ascii="宋体" w:hAnsi="宋体" w:hint="eastAsia"/>
          <w:sz w:val="24"/>
        </w:rPr>
        <w:t>、</w:t>
      </w:r>
      <w:r w:rsidRPr="00017BCB">
        <w:rPr>
          <w:rFonts w:ascii="宋体" w:hAnsi="宋体" w:hint="eastAsia"/>
          <w:sz w:val="24"/>
        </w:rPr>
        <w:t>西部证券股份有限公司</w:t>
      </w:r>
      <w:r w:rsidR="00483B79">
        <w:rPr>
          <w:rFonts w:ascii="宋体" w:hAnsi="宋体" w:hint="eastAsia"/>
          <w:sz w:val="24"/>
        </w:rPr>
        <w:t>、</w:t>
      </w:r>
      <w:r w:rsidRPr="00017BCB">
        <w:rPr>
          <w:rFonts w:ascii="宋体" w:hAnsi="宋体" w:hint="eastAsia"/>
          <w:sz w:val="24"/>
        </w:rPr>
        <w:t>上海朱雀投资发展中心（有限合伙）和朱雀股权投资管理有限公司。现任朱雀基金总经理</w:t>
      </w:r>
      <w:proofErr w:type="gramStart"/>
      <w:r w:rsidRPr="00017BCB">
        <w:rPr>
          <w:rFonts w:ascii="宋体" w:hAnsi="宋体" w:hint="eastAsia"/>
          <w:sz w:val="24"/>
        </w:rPr>
        <w:t>兼公募投资</w:t>
      </w:r>
      <w:proofErr w:type="gramEnd"/>
      <w:r w:rsidRPr="00017BCB">
        <w:rPr>
          <w:rFonts w:ascii="宋体" w:hAnsi="宋体" w:hint="eastAsia"/>
          <w:sz w:val="24"/>
        </w:rPr>
        <w:t>部总经理、投资总监，2014年当选中国证监会第五届并购重组委委员，2016年当选中国证监会第六届并购重组委委员。2020年6月3日至2024年12月17日担任朱雀企业优胜股票型证券投资基金的基金经理，2020年6月29日至今担任朱雀产业</w:t>
      </w:r>
      <w:proofErr w:type="gramStart"/>
      <w:r w:rsidRPr="00017BCB">
        <w:rPr>
          <w:rFonts w:ascii="宋体" w:hAnsi="宋体" w:hint="eastAsia"/>
          <w:sz w:val="24"/>
        </w:rPr>
        <w:t>臻</w:t>
      </w:r>
      <w:proofErr w:type="gramEnd"/>
      <w:r w:rsidRPr="00017BCB">
        <w:rPr>
          <w:rFonts w:ascii="宋体" w:hAnsi="宋体" w:hint="eastAsia"/>
          <w:sz w:val="24"/>
        </w:rPr>
        <w:t>选混合型证券投资基金的基金经理，2020年9月23日</w:t>
      </w:r>
      <w:r w:rsidR="0086694B" w:rsidRPr="00017BCB">
        <w:rPr>
          <w:rFonts w:ascii="宋体" w:hAnsi="宋体" w:hint="eastAsia"/>
          <w:sz w:val="24"/>
        </w:rPr>
        <w:t>至</w:t>
      </w:r>
      <w:r w:rsidR="0086694B">
        <w:rPr>
          <w:rFonts w:ascii="宋体" w:hAnsi="宋体" w:hint="eastAsia"/>
          <w:sz w:val="24"/>
        </w:rPr>
        <w:t>2</w:t>
      </w:r>
      <w:r w:rsidR="0086694B">
        <w:rPr>
          <w:rFonts w:ascii="宋体" w:hAnsi="宋体"/>
          <w:sz w:val="24"/>
        </w:rPr>
        <w:t>025</w:t>
      </w:r>
      <w:r w:rsidR="0086694B">
        <w:rPr>
          <w:rFonts w:ascii="宋体" w:hAnsi="宋体" w:hint="eastAsia"/>
          <w:sz w:val="24"/>
        </w:rPr>
        <w:t>年9月1</w:t>
      </w:r>
      <w:r w:rsidR="00075DD9">
        <w:rPr>
          <w:rFonts w:ascii="宋体" w:hAnsi="宋体"/>
          <w:sz w:val="24"/>
        </w:rPr>
        <w:t>0</w:t>
      </w:r>
      <w:r w:rsidR="0086694B">
        <w:rPr>
          <w:rFonts w:ascii="宋体" w:hAnsi="宋体" w:hint="eastAsia"/>
          <w:sz w:val="24"/>
        </w:rPr>
        <w:t>日</w:t>
      </w:r>
      <w:r w:rsidRPr="00017BCB">
        <w:rPr>
          <w:rFonts w:ascii="宋体" w:hAnsi="宋体" w:hint="eastAsia"/>
          <w:sz w:val="24"/>
        </w:rPr>
        <w:t>担任朱雀企业优选股票型证券投资基金的基金经理，2020年12月21日至2025</w:t>
      </w:r>
      <w:r w:rsidRPr="00017BCB">
        <w:rPr>
          <w:rFonts w:ascii="宋体" w:hAnsi="宋体" w:hint="eastAsia"/>
          <w:sz w:val="24"/>
        </w:rPr>
        <w:lastRenderedPageBreak/>
        <w:t>年1月12日担任朱雀匠心一年持有期混合型证券投资基金的基金经理，2021年3月1日至今担任朱雀恒心一年持有期混合型证券投资基金的基金经理，2021年12月8日至2024年7月22日担任朱雀产业智选混合型证券投资基金的基金经理，2022年9月7日至今担任朱雀碳中和三年持有期混合型发起式证券投资基金的基金经理，2023年6月27日</w:t>
      </w:r>
      <w:r w:rsidR="006C7C15" w:rsidRPr="00017BCB">
        <w:rPr>
          <w:rFonts w:ascii="宋体" w:hAnsi="宋体" w:hint="eastAsia"/>
          <w:sz w:val="24"/>
        </w:rPr>
        <w:t>至</w:t>
      </w:r>
      <w:r w:rsidR="006C7C15">
        <w:rPr>
          <w:rFonts w:ascii="宋体" w:hAnsi="宋体" w:hint="eastAsia"/>
          <w:sz w:val="24"/>
        </w:rPr>
        <w:t>2</w:t>
      </w:r>
      <w:r w:rsidR="006C7C15">
        <w:rPr>
          <w:rFonts w:ascii="宋体" w:hAnsi="宋体"/>
          <w:sz w:val="24"/>
        </w:rPr>
        <w:t>026</w:t>
      </w:r>
      <w:r w:rsidR="006C7C15">
        <w:rPr>
          <w:rFonts w:ascii="宋体" w:hAnsi="宋体" w:hint="eastAsia"/>
          <w:sz w:val="24"/>
        </w:rPr>
        <w:t>年4月</w:t>
      </w:r>
      <w:r w:rsidR="00075DD9">
        <w:rPr>
          <w:rFonts w:ascii="宋体" w:hAnsi="宋体"/>
          <w:sz w:val="24"/>
        </w:rPr>
        <w:t>29</w:t>
      </w:r>
      <w:r w:rsidR="006C7C15">
        <w:rPr>
          <w:rFonts w:ascii="宋体" w:hAnsi="宋体" w:hint="eastAsia"/>
          <w:sz w:val="24"/>
        </w:rPr>
        <w:t>日</w:t>
      </w:r>
      <w:r w:rsidRPr="00017BCB">
        <w:rPr>
          <w:rFonts w:ascii="宋体" w:hAnsi="宋体" w:hint="eastAsia"/>
          <w:sz w:val="24"/>
        </w:rPr>
        <w:t>担任朱雀产业精选混合型证券投资基金的基金经理。</w:t>
      </w:r>
      <w:bookmarkStart w:id="80" w:name="_Hlk43711832"/>
    </w:p>
    <w:p w14:paraId="4D181F80" w14:textId="0DE438F5" w:rsidR="00A93A88" w:rsidRDefault="00A93A88">
      <w:pPr>
        <w:snapToGrid w:val="0"/>
        <w:spacing w:line="360" w:lineRule="auto"/>
        <w:ind w:firstLineChars="200" w:firstLine="480"/>
        <w:rPr>
          <w:rFonts w:ascii="宋体" w:hAnsi="宋体"/>
          <w:sz w:val="24"/>
        </w:rPr>
      </w:pPr>
      <w:r w:rsidRPr="00A93A88">
        <w:rPr>
          <w:rFonts w:ascii="宋体" w:hAnsi="宋体" w:hint="eastAsia"/>
          <w:sz w:val="24"/>
        </w:rPr>
        <w:t>佘金花</w:t>
      </w:r>
      <w:r w:rsidR="00A236F6">
        <w:rPr>
          <w:rFonts w:ascii="宋体" w:hAnsi="宋体" w:hint="eastAsia"/>
          <w:sz w:val="24"/>
        </w:rPr>
        <w:t>女士</w:t>
      </w:r>
      <w:r w:rsidR="002520E5" w:rsidRPr="002520E5">
        <w:rPr>
          <w:rFonts w:ascii="宋体" w:hAnsi="宋体" w:hint="eastAsia"/>
          <w:sz w:val="24"/>
        </w:rPr>
        <w:t>，1992年出生，中国籍，复旦大学人口、资源与环境经济学硕士。曾任职于紫金矿业集团股份有限公司和海通证券股份有限公司。现任朱雀基金公</w:t>
      </w:r>
      <w:proofErr w:type="gramStart"/>
      <w:r w:rsidR="002520E5" w:rsidRPr="002520E5">
        <w:rPr>
          <w:rFonts w:ascii="宋体" w:hAnsi="宋体" w:hint="eastAsia"/>
          <w:sz w:val="24"/>
        </w:rPr>
        <w:t>募投资部基金</w:t>
      </w:r>
      <w:proofErr w:type="gramEnd"/>
      <w:r w:rsidR="002520E5" w:rsidRPr="002520E5">
        <w:rPr>
          <w:rFonts w:ascii="宋体" w:hAnsi="宋体" w:hint="eastAsia"/>
          <w:sz w:val="24"/>
        </w:rPr>
        <w:t>经理。2024年8月</w:t>
      </w:r>
      <w:r w:rsidR="000E14EB">
        <w:rPr>
          <w:rFonts w:ascii="宋体" w:hAnsi="宋体"/>
          <w:sz w:val="24"/>
        </w:rPr>
        <w:t>5</w:t>
      </w:r>
      <w:r w:rsidR="002520E5" w:rsidRPr="002520E5">
        <w:rPr>
          <w:rFonts w:ascii="宋体" w:hAnsi="宋体" w:hint="eastAsia"/>
          <w:sz w:val="24"/>
        </w:rPr>
        <w:t>日至今担任朱雀产业</w:t>
      </w:r>
      <w:proofErr w:type="gramStart"/>
      <w:r w:rsidR="002520E5" w:rsidRPr="002520E5">
        <w:rPr>
          <w:rFonts w:ascii="宋体" w:hAnsi="宋体" w:hint="eastAsia"/>
          <w:sz w:val="24"/>
        </w:rPr>
        <w:t>臻</w:t>
      </w:r>
      <w:proofErr w:type="gramEnd"/>
      <w:r w:rsidR="002520E5" w:rsidRPr="002520E5">
        <w:rPr>
          <w:rFonts w:ascii="宋体" w:hAnsi="宋体" w:hint="eastAsia"/>
          <w:sz w:val="24"/>
        </w:rPr>
        <w:t>选混合型证券投资基金的基金经理</w:t>
      </w:r>
      <w:r w:rsidR="0048683D">
        <w:rPr>
          <w:rFonts w:ascii="宋体" w:hAnsi="宋体" w:hint="eastAsia"/>
          <w:sz w:val="24"/>
        </w:rPr>
        <w:t>。</w:t>
      </w:r>
    </w:p>
    <w:p w14:paraId="4A57B36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本基金历任基金经理：</w:t>
      </w:r>
    </w:p>
    <w:p w14:paraId="218B0583" w14:textId="59FD3931" w:rsidR="008A6127" w:rsidRDefault="00437D9F">
      <w:pPr>
        <w:snapToGrid w:val="0"/>
        <w:spacing w:line="360" w:lineRule="auto"/>
        <w:ind w:firstLineChars="200" w:firstLine="480"/>
        <w:rPr>
          <w:rFonts w:ascii="宋体" w:hAnsi="宋体"/>
          <w:sz w:val="24"/>
        </w:rPr>
      </w:pPr>
      <w:r>
        <w:rPr>
          <w:rFonts w:ascii="宋体" w:hAnsi="宋体" w:hint="eastAsia"/>
          <w:sz w:val="24"/>
        </w:rPr>
        <w:t>何之渊先生，2</w:t>
      </w:r>
      <w:r>
        <w:rPr>
          <w:rFonts w:ascii="宋体" w:hAnsi="宋体"/>
          <w:sz w:val="24"/>
        </w:rPr>
        <w:t>019</w:t>
      </w:r>
      <w:r>
        <w:rPr>
          <w:rFonts w:ascii="宋体" w:hAnsi="宋体" w:hint="eastAsia"/>
          <w:sz w:val="24"/>
        </w:rPr>
        <w:t>年6月2</w:t>
      </w:r>
      <w:r>
        <w:rPr>
          <w:rFonts w:ascii="宋体" w:hAnsi="宋体"/>
          <w:sz w:val="24"/>
        </w:rPr>
        <w:t>7</w:t>
      </w:r>
      <w:r>
        <w:rPr>
          <w:rFonts w:ascii="宋体" w:hAnsi="宋体" w:hint="eastAsia"/>
          <w:sz w:val="24"/>
        </w:rPr>
        <w:t>日至</w:t>
      </w:r>
      <w:r w:rsidR="00FA23D6">
        <w:rPr>
          <w:rFonts w:ascii="宋体" w:hAnsi="宋体" w:hint="eastAsia"/>
          <w:sz w:val="24"/>
        </w:rPr>
        <w:t>2</w:t>
      </w:r>
      <w:r w:rsidR="00FA23D6">
        <w:rPr>
          <w:rFonts w:ascii="宋体" w:hAnsi="宋体"/>
          <w:sz w:val="24"/>
        </w:rPr>
        <w:t>021</w:t>
      </w:r>
      <w:r w:rsidR="00FA23D6">
        <w:rPr>
          <w:rFonts w:ascii="宋体" w:hAnsi="宋体" w:hint="eastAsia"/>
          <w:sz w:val="24"/>
        </w:rPr>
        <w:t>年</w:t>
      </w:r>
      <w:r w:rsidR="00FA23D6">
        <w:rPr>
          <w:rFonts w:ascii="宋体" w:hAnsi="宋体"/>
          <w:sz w:val="24"/>
        </w:rPr>
        <w:t>12</w:t>
      </w:r>
      <w:r w:rsidR="00FA23D6">
        <w:rPr>
          <w:rFonts w:ascii="宋体" w:hAnsi="宋体" w:hint="eastAsia"/>
          <w:sz w:val="24"/>
        </w:rPr>
        <w:t>月</w:t>
      </w:r>
      <w:r w:rsidR="00FA23D6">
        <w:rPr>
          <w:rFonts w:ascii="宋体" w:hAnsi="宋体"/>
          <w:sz w:val="24"/>
        </w:rPr>
        <w:t>7</w:t>
      </w:r>
      <w:r>
        <w:rPr>
          <w:rFonts w:ascii="宋体" w:hAnsi="宋体" w:hint="eastAsia"/>
          <w:sz w:val="24"/>
        </w:rPr>
        <w:t>日管理本基金。</w:t>
      </w:r>
    </w:p>
    <w:p w14:paraId="6D5F2CCF" w14:textId="6287EC8F" w:rsidR="008A6127" w:rsidRDefault="00437D9F">
      <w:pPr>
        <w:snapToGrid w:val="0"/>
        <w:spacing w:line="360" w:lineRule="auto"/>
        <w:ind w:firstLineChars="200" w:firstLine="480"/>
        <w:rPr>
          <w:rFonts w:ascii="宋体" w:hAnsi="宋体"/>
          <w:sz w:val="24"/>
        </w:rPr>
      </w:pPr>
      <w:r>
        <w:rPr>
          <w:rFonts w:ascii="宋体" w:hAnsi="宋体" w:hint="eastAsia"/>
          <w:sz w:val="24"/>
        </w:rPr>
        <w:t>张延鹏先生，2</w:t>
      </w:r>
      <w:r>
        <w:rPr>
          <w:rFonts w:ascii="宋体" w:hAnsi="宋体"/>
          <w:sz w:val="24"/>
        </w:rPr>
        <w:t>019</w:t>
      </w:r>
      <w:r>
        <w:rPr>
          <w:rFonts w:ascii="宋体" w:hAnsi="宋体" w:hint="eastAsia"/>
          <w:sz w:val="24"/>
        </w:rPr>
        <w:t>年6月2</w:t>
      </w:r>
      <w:r>
        <w:rPr>
          <w:rFonts w:ascii="宋体" w:hAnsi="宋体"/>
          <w:sz w:val="24"/>
        </w:rPr>
        <w:t>7</w:t>
      </w:r>
      <w:r>
        <w:rPr>
          <w:rFonts w:ascii="宋体" w:hAnsi="宋体" w:hint="eastAsia"/>
          <w:sz w:val="24"/>
        </w:rPr>
        <w:t>日至2</w:t>
      </w:r>
      <w:r>
        <w:rPr>
          <w:rFonts w:ascii="宋体" w:hAnsi="宋体"/>
          <w:sz w:val="24"/>
        </w:rPr>
        <w:t>020</w:t>
      </w:r>
      <w:r>
        <w:rPr>
          <w:rFonts w:ascii="宋体" w:hAnsi="宋体" w:hint="eastAsia"/>
          <w:sz w:val="24"/>
        </w:rPr>
        <w:t>年</w:t>
      </w:r>
      <w:r>
        <w:rPr>
          <w:rFonts w:ascii="宋体" w:hAnsi="宋体"/>
          <w:sz w:val="24"/>
        </w:rPr>
        <w:t>6</w:t>
      </w:r>
      <w:r>
        <w:rPr>
          <w:rFonts w:ascii="宋体" w:hAnsi="宋体" w:hint="eastAsia"/>
          <w:sz w:val="24"/>
        </w:rPr>
        <w:t>月</w:t>
      </w:r>
      <w:r w:rsidR="00FA23D6">
        <w:rPr>
          <w:rFonts w:ascii="宋体" w:hAnsi="宋体"/>
          <w:sz w:val="24"/>
        </w:rPr>
        <w:t>28</w:t>
      </w:r>
      <w:r>
        <w:rPr>
          <w:rFonts w:ascii="宋体" w:hAnsi="宋体" w:hint="eastAsia"/>
          <w:sz w:val="24"/>
        </w:rPr>
        <w:t>日管理本基金。</w:t>
      </w:r>
      <w:bookmarkEnd w:id="80"/>
    </w:p>
    <w:p w14:paraId="7746E035" w14:textId="77777777"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、投资决策委员会成员</w:t>
      </w:r>
    </w:p>
    <w:p w14:paraId="0B0AB2C5" w14:textId="77777777" w:rsidR="006C7C15" w:rsidRPr="006500BF" w:rsidRDefault="006C7C15" w:rsidP="006C7C15">
      <w:pPr>
        <w:snapToGrid w:val="0"/>
        <w:spacing w:line="360" w:lineRule="auto"/>
        <w:ind w:firstLineChars="200" w:firstLine="480"/>
        <w:rPr>
          <w:rFonts w:ascii="宋体" w:hAnsi="宋体"/>
          <w:sz w:val="24"/>
        </w:rPr>
      </w:pPr>
      <w:bookmarkStart w:id="81" w:name="_Hlk43711846"/>
      <w:r w:rsidRPr="006500BF">
        <w:rPr>
          <w:rFonts w:ascii="宋体" w:hAnsi="宋体" w:hint="eastAsia"/>
          <w:sz w:val="24"/>
        </w:rPr>
        <w:t>梁跃军先生，现任朱雀基金总经理</w:t>
      </w:r>
      <w:proofErr w:type="gramStart"/>
      <w:r w:rsidRPr="006500BF">
        <w:rPr>
          <w:rFonts w:ascii="宋体" w:hAnsi="宋体" w:hint="eastAsia"/>
          <w:sz w:val="24"/>
        </w:rPr>
        <w:t>兼公募投资</w:t>
      </w:r>
      <w:proofErr w:type="gramEnd"/>
      <w:r w:rsidRPr="006500BF">
        <w:rPr>
          <w:rFonts w:ascii="宋体" w:hAnsi="宋体" w:hint="eastAsia"/>
          <w:sz w:val="24"/>
        </w:rPr>
        <w:t>部总经理、投资总监。</w:t>
      </w:r>
    </w:p>
    <w:p w14:paraId="3478F6AD" w14:textId="77777777" w:rsidR="006C7C15" w:rsidRPr="006500BF" w:rsidRDefault="006C7C15" w:rsidP="006C7C15">
      <w:pPr>
        <w:snapToGrid w:val="0"/>
        <w:spacing w:line="360" w:lineRule="auto"/>
        <w:ind w:firstLineChars="200" w:firstLine="480"/>
        <w:rPr>
          <w:rFonts w:ascii="宋体" w:hAnsi="宋体"/>
          <w:sz w:val="24"/>
        </w:rPr>
      </w:pPr>
      <w:r w:rsidRPr="006500BF">
        <w:rPr>
          <w:rFonts w:ascii="宋体" w:hAnsi="宋体" w:hint="eastAsia"/>
          <w:sz w:val="24"/>
        </w:rPr>
        <w:t>张劲骐先生，现任朱雀基金副总经理兼专户投资部总经理、投资总监。</w:t>
      </w:r>
    </w:p>
    <w:p w14:paraId="1F9C0CC9" w14:textId="77777777" w:rsidR="006C7C15" w:rsidRPr="006500BF" w:rsidRDefault="006C7C15" w:rsidP="006C7C15">
      <w:pPr>
        <w:snapToGrid w:val="0"/>
        <w:spacing w:line="360" w:lineRule="auto"/>
        <w:ind w:firstLineChars="200" w:firstLine="480"/>
        <w:rPr>
          <w:rFonts w:ascii="宋体" w:hAnsi="宋体"/>
          <w:sz w:val="24"/>
        </w:rPr>
      </w:pPr>
      <w:r w:rsidRPr="006500BF">
        <w:rPr>
          <w:rFonts w:ascii="宋体" w:hAnsi="宋体" w:hint="eastAsia"/>
          <w:sz w:val="24"/>
        </w:rPr>
        <w:t>郭威先生，现任朱雀基金副总经理。</w:t>
      </w:r>
    </w:p>
    <w:p w14:paraId="40A34EDD" w14:textId="77777777" w:rsidR="006C7C15" w:rsidRPr="006500BF" w:rsidRDefault="006C7C15" w:rsidP="006C7C15">
      <w:pPr>
        <w:snapToGrid w:val="0"/>
        <w:spacing w:line="360" w:lineRule="auto"/>
        <w:ind w:firstLineChars="200" w:firstLine="480"/>
        <w:rPr>
          <w:rFonts w:ascii="宋体" w:hAnsi="宋体"/>
          <w:sz w:val="24"/>
        </w:rPr>
      </w:pPr>
      <w:r w:rsidRPr="006500BF">
        <w:rPr>
          <w:rFonts w:ascii="宋体" w:hAnsi="宋体" w:hint="eastAsia"/>
          <w:sz w:val="24"/>
        </w:rPr>
        <w:t>潘约中先生，现任朱雀基金副总经理。</w:t>
      </w:r>
    </w:p>
    <w:p w14:paraId="541557F0" w14:textId="77777777" w:rsidR="006C7C15" w:rsidRPr="006500BF" w:rsidRDefault="006C7C15" w:rsidP="006C7C15">
      <w:pPr>
        <w:snapToGrid w:val="0"/>
        <w:spacing w:line="360" w:lineRule="auto"/>
        <w:ind w:firstLineChars="200" w:firstLine="480"/>
        <w:rPr>
          <w:rFonts w:ascii="宋体" w:hAnsi="宋体"/>
          <w:sz w:val="24"/>
        </w:rPr>
      </w:pPr>
      <w:r w:rsidRPr="006500BF">
        <w:rPr>
          <w:rFonts w:ascii="宋体" w:hAnsi="宋体" w:hint="eastAsia"/>
          <w:sz w:val="24"/>
        </w:rPr>
        <w:t>佘金花女士，现任朱雀基金公</w:t>
      </w:r>
      <w:proofErr w:type="gramStart"/>
      <w:r w:rsidRPr="006500BF">
        <w:rPr>
          <w:rFonts w:ascii="宋体" w:hAnsi="宋体" w:hint="eastAsia"/>
          <w:sz w:val="24"/>
        </w:rPr>
        <w:t>募投资部基金</w:t>
      </w:r>
      <w:proofErr w:type="gramEnd"/>
      <w:r w:rsidRPr="006500BF">
        <w:rPr>
          <w:rFonts w:ascii="宋体" w:hAnsi="宋体" w:hint="eastAsia"/>
          <w:sz w:val="24"/>
        </w:rPr>
        <w:t>经理。</w:t>
      </w:r>
    </w:p>
    <w:p w14:paraId="51DB825B" w14:textId="77777777" w:rsidR="006C7C15" w:rsidRPr="006500BF" w:rsidRDefault="006C7C15" w:rsidP="006C7C15">
      <w:pPr>
        <w:snapToGrid w:val="0"/>
        <w:spacing w:line="360" w:lineRule="auto"/>
        <w:ind w:firstLineChars="200" w:firstLine="480"/>
        <w:rPr>
          <w:rFonts w:ascii="宋体" w:hAnsi="宋体"/>
          <w:sz w:val="24"/>
        </w:rPr>
      </w:pPr>
      <w:r w:rsidRPr="006500BF">
        <w:rPr>
          <w:rFonts w:ascii="宋体" w:hAnsi="宋体" w:hint="eastAsia"/>
          <w:sz w:val="24"/>
        </w:rPr>
        <w:t>章晓珏女士，现任朱雀基金专户投资部投资经理。</w:t>
      </w:r>
    </w:p>
    <w:p w14:paraId="31E6677F" w14:textId="77777777" w:rsidR="006C7C15" w:rsidRDefault="006C7C15" w:rsidP="006C7C15">
      <w:pPr>
        <w:snapToGrid w:val="0"/>
        <w:spacing w:line="360" w:lineRule="auto"/>
        <w:ind w:firstLineChars="200" w:firstLine="480"/>
        <w:rPr>
          <w:rFonts w:ascii="宋体" w:hAnsi="宋体"/>
          <w:sz w:val="24"/>
        </w:rPr>
      </w:pPr>
      <w:r w:rsidRPr="006500BF">
        <w:rPr>
          <w:rFonts w:ascii="宋体" w:hAnsi="宋体" w:hint="eastAsia"/>
          <w:sz w:val="24"/>
        </w:rPr>
        <w:t>周薇女士，现任朱雀基金研究部研究总监。</w:t>
      </w:r>
    </w:p>
    <w:p w14:paraId="1E3156D5" w14:textId="782255E6" w:rsidR="008A6127" w:rsidRDefault="006C7C15">
      <w:pPr>
        <w:snapToGrid w:val="0"/>
        <w:spacing w:line="360" w:lineRule="auto"/>
        <w:ind w:firstLineChars="200" w:firstLine="480"/>
        <w:rPr>
          <w:rFonts w:ascii="宋体" w:hAnsi="宋体"/>
          <w:sz w:val="24"/>
        </w:rPr>
      </w:pPr>
      <w:r w:rsidRPr="00BA17E5">
        <w:rPr>
          <w:rFonts w:ascii="宋体" w:hAnsi="宋体" w:hint="eastAsia"/>
          <w:sz w:val="24"/>
        </w:rPr>
        <w:t>潘昱璇</w:t>
      </w:r>
      <w:r>
        <w:rPr>
          <w:rFonts w:ascii="宋体" w:hAnsi="宋体" w:hint="eastAsia"/>
          <w:sz w:val="24"/>
        </w:rPr>
        <w:t>先生，</w:t>
      </w:r>
      <w:r w:rsidR="00D043D3" w:rsidRPr="00D043D3">
        <w:rPr>
          <w:rFonts w:ascii="宋体" w:hAnsi="宋体" w:hint="eastAsia"/>
          <w:sz w:val="24"/>
        </w:rPr>
        <w:t>现任朱雀基金公</w:t>
      </w:r>
      <w:proofErr w:type="gramStart"/>
      <w:r w:rsidR="00D043D3" w:rsidRPr="00D043D3">
        <w:rPr>
          <w:rFonts w:ascii="宋体" w:hAnsi="宋体" w:hint="eastAsia"/>
          <w:sz w:val="24"/>
        </w:rPr>
        <w:t>募投资部基金</w:t>
      </w:r>
      <w:proofErr w:type="gramEnd"/>
      <w:r w:rsidR="00D043D3" w:rsidRPr="00D043D3">
        <w:rPr>
          <w:rFonts w:ascii="宋体" w:hAnsi="宋体" w:hint="eastAsia"/>
          <w:sz w:val="24"/>
        </w:rPr>
        <w:t>经理。</w:t>
      </w:r>
    </w:p>
    <w:p w14:paraId="65DCFD39" w14:textId="77777777" w:rsidR="008A6127" w:rsidRDefault="00437D9F">
      <w:pPr>
        <w:snapToGrid w:val="0"/>
        <w:spacing w:line="360" w:lineRule="auto"/>
        <w:ind w:firstLineChars="200" w:firstLine="480"/>
        <w:rPr>
          <w:rFonts w:ascii="宋体" w:hAnsi="宋体"/>
          <w:sz w:val="24"/>
        </w:rPr>
      </w:pPr>
      <w:r>
        <w:rPr>
          <w:rFonts w:ascii="宋体" w:hAnsi="宋体"/>
          <w:sz w:val="24"/>
        </w:rPr>
        <w:t>6、</w:t>
      </w:r>
      <w:r>
        <w:rPr>
          <w:rFonts w:ascii="宋体" w:hAnsi="宋体" w:hint="eastAsia"/>
          <w:sz w:val="24"/>
          <w:lang w:eastAsia="zh-Hans"/>
        </w:rPr>
        <w:t>上述人员之间不存在近亲属关系</w:t>
      </w:r>
      <w:r>
        <w:rPr>
          <w:rFonts w:ascii="宋体" w:hAnsi="宋体"/>
          <w:sz w:val="24"/>
          <w:lang w:eastAsia="zh-Hans"/>
        </w:rPr>
        <w:t>。</w:t>
      </w:r>
      <w:bookmarkEnd w:id="81"/>
    </w:p>
    <w:p w14:paraId="69EB575C" w14:textId="77777777" w:rsidR="008A6127" w:rsidRDefault="00437D9F">
      <w:pPr>
        <w:adjustRightInd w:val="0"/>
        <w:snapToGrid w:val="0"/>
        <w:spacing w:line="360" w:lineRule="auto"/>
        <w:ind w:firstLineChars="200" w:firstLine="482"/>
        <w:rPr>
          <w:rFonts w:ascii="Cambria" w:hAnsi="Cambria"/>
          <w:b/>
          <w:bCs/>
          <w:sz w:val="24"/>
        </w:rPr>
      </w:pPr>
      <w:r>
        <w:rPr>
          <w:rFonts w:ascii="Cambria" w:hAnsi="Cambria" w:hint="eastAsia"/>
          <w:b/>
          <w:bCs/>
          <w:sz w:val="24"/>
        </w:rPr>
        <w:t>（三）基金管理人的职责</w:t>
      </w:r>
    </w:p>
    <w:p w14:paraId="04835498" w14:textId="77777777" w:rsidR="008A6127" w:rsidRDefault="00437D9F">
      <w:pPr>
        <w:snapToGrid w:val="0"/>
        <w:spacing w:line="360" w:lineRule="auto"/>
        <w:ind w:firstLineChars="200" w:firstLine="480"/>
        <w:rPr>
          <w:rFonts w:ascii="宋体" w:hAnsi="宋体"/>
          <w:sz w:val="24"/>
        </w:rPr>
      </w:pPr>
      <w:bookmarkStart w:id="82" w:name="_Hlk1121429"/>
      <w:r>
        <w:rPr>
          <w:rFonts w:ascii="宋体" w:hAnsi="宋体"/>
          <w:sz w:val="24"/>
        </w:rPr>
        <w:t>（1）依法募集</w:t>
      </w:r>
      <w:r>
        <w:rPr>
          <w:rFonts w:ascii="宋体" w:hAnsi="宋体" w:hint="eastAsia"/>
          <w:sz w:val="24"/>
        </w:rPr>
        <w:t>资</w:t>
      </w:r>
      <w:r>
        <w:rPr>
          <w:rFonts w:ascii="宋体" w:hAnsi="宋体"/>
          <w:sz w:val="24"/>
        </w:rPr>
        <w:t>金，办理或者委托经中国证监会认定的其他机构代为办理基金份额的发售、申购、赎回和登记事宜；</w:t>
      </w:r>
    </w:p>
    <w:p w14:paraId="3D50FB79" w14:textId="77777777" w:rsidR="008A6127" w:rsidRDefault="00437D9F">
      <w:pPr>
        <w:snapToGrid w:val="0"/>
        <w:spacing w:line="360" w:lineRule="auto"/>
        <w:ind w:firstLineChars="200" w:firstLine="480"/>
        <w:rPr>
          <w:rFonts w:ascii="宋体" w:hAnsi="宋体"/>
          <w:sz w:val="24"/>
        </w:rPr>
      </w:pPr>
      <w:r>
        <w:rPr>
          <w:rFonts w:ascii="宋体" w:hAnsi="宋体"/>
          <w:sz w:val="24"/>
        </w:rPr>
        <w:t>（2）办理基金备案手续；</w:t>
      </w:r>
    </w:p>
    <w:p w14:paraId="66CC29E5" w14:textId="77777777" w:rsidR="008A6127" w:rsidRDefault="00437D9F">
      <w:pPr>
        <w:snapToGrid w:val="0"/>
        <w:spacing w:line="360" w:lineRule="auto"/>
        <w:ind w:firstLineChars="200" w:firstLine="480"/>
        <w:rPr>
          <w:rFonts w:ascii="宋体" w:hAnsi="宋体"/>
          <w:sz w:val="24"/>
        </w:rPr>
      </w:pPr>
      <w:r>
        <w:rPr>
          <w:rFonts w:ascii="宋体" w:hAnsi="宋体"/>
          <w:sz w:val="24"/>
        </w:rPr>
        <w:t>（3）自《基金合同》生效之日起,以诚实信用、谨慎勤勉的原则管理和运用基金财产；</w:t>
      </w:r>
    </w:p>
    <w:p w14:paraId="41702755" w14:textId="77777777" w:rsidR="008A6127" w:rsidRDefault="00437D9F">
      <w:pPr>
        <w:snapToGrid w:val="0"/>
        <w:spacing w:line="360" w:lineRule="auto"/>
        <w:ind w:firstLineChars="200" w:firstLine="480"/>
        <w:rPr>
          <w:rFonts w:ascii="宋体" w:hAnsi="宋体"/>
          <w:sz w:val="24"/>
        </w:rPr>
      </w:pPr>
      <w:r>
        <w:rPr>
          <w:rFonts w:ascii="宋体" w:hAnsi="宋体"/>
          <w:sz w:val="24"/>
        </w:rPr>
        <w:t>（4）配备足够的具有专业资格的人员进行基金投资分析、决策，以专业化</w:t>
      </w:r>
      <w:r>
        <w:rPr>
          <w:rFonts w:ascii="宋体" w:hAnsi="宋体"/>
          <w:sz w:val="24"/>
        </w:rPr>
        <w:lastRenderedPageBreak/>
        <w:t>的经营方式管理和运作基金财产；</w:t>
      </w:r>
    </w:p>
    <w:p w14:paraId="06A1CC5D" w14:textId="77777777" w:rsidR="008A6127" w:rsidRDefault="00437D9F">
      <w:pPr>
        <w:snapToGrid w:val="0"/>
        <w:spacing w:line="360" w:lineRule="auto"/>
        <w:ind w:firstLineChars="200" w:firstLine="480"/>
        <w:rPr>
          <w:rFonts w:ascii="宋体" w:hAnsi="宋体"/>
          <w:sz w:val="24"/>
        </w:rPr>
      </w:pPr>
      <w:r>
        <w:rPr>
          <w:rFonts w:ascii="宋体" w:hAnsi="宋体"/>
          <w:sz w:val="24"/>
        </w:rPr>
        <w:t>（5）建立健全内部风险控制、监察与稽核、财务管理及人事管理等制度，保证所管理的基金财产和基金管理人的财产相互独</w:t>
      </w:r>
      <w:r>
        <w:rPr>
          <w:rFonts w:ascii="宋体" w:hAnsi="宋体" w:hint="eastAsia"/>
          <w:sz w:val="24"/>
        </w:rPr>
        <w:t>立，对</w:t>
      </w:r>
      <w:r>
        <w:rPr>
          <w:rFonts w:ascii="宋体" w:hAnsi="宋体"/>
          <w:sz w:val="24"/>
        </w:rPr>
        <w:t>所管理的不同基金分别管理，分别记账，进行证券投资；</w:t>
      </w:r>
    </w:p>
    <w:p w14:paraId="0829AF28" w14:textId="77777777" w:rsidR="008A6127" w:rsidRDefault="00437D9F">
      <w:pPr>
        <w:snapToGrid w:val="0"/>
        <w:spacing w:line="360" w:lineRule="auto"/>
        <w:ind w:firstLineChars="200" w:firstLine="480"/>
        <w:rPr>
          <w:rFonts w:ascii="宋体" w:hAnsi="宋体"/>
          <w:sz w:val="24"/>
        </w:rPr>
      </w:pPr>
      <w:r>
        <w:rPr>
          <w:rFonts w:ascii="宋体" w:hAnsi="宋体"/>
          <w:sz w:val="24"/>
        </w:rPr>
        <w:t>（6）除依据《基金法》、《基金合同》及其他有关规定外,不得利用基金财产为自己及任何第三人谋取利益，不得委托第三人运作基金财产；</w:t>
      </w:r>
      <w:bookmarkStart w:id="83" w:name="_Hlt88897298"/>
      <w:bookmarkEnd w:id="83"/>
    </w:p>
    <w:p w14:paraId="42313AD1" w14:textId="77777777" w:rsidR="008A6127" w:rsidRDefault="00437D9F">
      <w:pPr>
        <w:snapToGrid w:val="0"/>
        <w:spacing w:line="360" w:lineRule="auto"/>
        <w:ind w:firstLineChars="200" w:firstLine="480"/>
        <w:rPr>
          <w:rFonts w:ascii="宋体" w:hAnsi="宋体"/>
          <w:sz w:val="24"/>
        </w:rPr>
      </w:pPr>
      <w:r>
        <w:rPr>
          <w:rFonts w:ascii="宋体" w:hAnsi="宋体"/>
          <w:sz w:val="24"/>
        </w:rPr>
        <w:t>（7）依法接受基金托管人的监督；</w:t>
      </w:r>
    </w:p>
    <w:p w14:paraId="75AA40FC" w14:textId="77777777" w:rsidR="008A6127" w:rsidRDefault="00437D9F">
      <w:pPr>
        <w:snapToGrid w:val="0"/>
        <w:spacing w:line="360" w:lineRule="auto"/>
        <w:ind w:firstLineChars="200" w:firstLine="480"/>
        <w:rPr>
          <w:rFonts w:ascii="宋体" w:hAnsi="宋体"/>
          <w:sz w:val="24"/>
        </w:rPr>
      </w:pPr>
      <w:r>
        <w:rPr>
          <w:rFonts w:ascii="宋体" w:hAnsi="宋体"/>
          <w:sz w:val="24"/>
        </w:rPr>
        <w:t>（8）采取适当合理的措施使计算基金份额认购、申购、赎回和注销价格的方法符合《基金合同》等法律文件的规定，按有关规定计算并公告</w:t>
      </w:r>
      <w:r>
        <w:rPr>
          <w:rFonts w:ascii="宋体" w:hAnsi="宋体" w:hint="eastAsia"/>
          <w:sz w:val="24"/>
        </w:rPr>
        <w:t>基金净值信息</w:t>
      </w:r>
      <w:r>
        <w:rPr>
          <w:rFonts w:ascii="宋体" w:hAnsi="宋体"/>
          <w:sz w:val="24"/>
        </w:rPr>
        <w:t>，确定基金份额申购、赎回的价格；</w:t>
      </w:r>
    </w:p>
    <w:p w14:paraId="1F8BF451" w14:textId="77777777" w:rsidR="008A6127" w:rsidRDefault="00437D9F">
      <w:pPr>
        <w:snapToGrid w:val="0"/>
        <w:spacing w:line="360" w:lineRule="auto"/>
        <w:ind w:firstLineChars="200" w:firstLine="480"/>
        <w:rPr>
          <w:rFonts w:ascii="宋体" w:hAnsi="宋体"/>
          <w:sz w:val="24"/>
        </w:rPr>
      </w:pPr>
      <w:r>
        <w:rPr>
          <w:rFonts w:ascii="宋体" w:hAnsi="宋体"/>
          <w:sz w:val="24"/>
        </w:rPr>
        <w:t>（9）进行基金会计核算并编制基金财务会计报告；</w:t>
      </w:r>
    </w:p>
    <w:p w14:paraId="57288923" w14:textId="77777777" w:rsidR="008A6127" w:rsidRDefault="00437D9F">
      <w:pPr>
        <w:snapToGrid w:val="0"/>
        <w:spacing w:line="360" w:lineRule="auto"/>
        <w:ind w:firstLineChars="200" w:firstLine="480"/>
        <w:rPr>
          <w:rFonts w:ascii="宋体" w:hAnsi="宋体"/>
          <w:sz w:val="24"/>
        </w:rPr>
      </w:pPr>
      <w:r>
        <w:rPr>
          <w:rFonts w:ascii="宋体" w:hAnsi="宋体"/>
          <w:sz w:val="24"/>
        </w:rPr>
        <w:t>（10）编制季度</w:t>
      </w:r>
      <w:r>
        <w:rPr>
          <w:rFonts w:ascii="宋体" w:hAnsi="宋体" w:hint="eastAsia"/>
          <w:sz w:val="24"/>
        </w:rPr>
        <w:t>报告</w:t>
      </w:r>
      <w:r>
        <w:rPr>
          <w:rFonts w:ascii="宋体" w:hAnsi="宋体"/>
          <w:sz w:val="24"/>
        </w:rPr>
        <w:t>、</w:t>
      </w:r>
      <w:r>
        <w:rPr>
          <w:rFonts w:ascii="宋体" w:hAnsi="宋体" w:hint="eastAsia"/>
          <w:sz w:val="24"/>
        </w:rPr>
        <w:t>中期报告</w:t>
      </w:r>
      <w:r>
        <w:rPr>
          <w:rFonts w:ascii="宋体" w:hAnsi="宋体"/>
          <w:sz w:val="24"/>
        </w:rPr>
        <w:t>和年度报告；</w:t>
      </w:r>
    </w:p>
    <w:p w14:paraId="4921E905" w14:textId="77777777" w:rsidR="008A6127" w:rsidRDefault="00437D9F">
      <w:pPr>
        <w:snapToGrid w:val="0"/>
        <w:spacing w:line="360" w:lineRule="auto"/>
        <w:ind w:firstLineChars="200" w:firstLine="480"/>
        <w:rPr>
          <w:rFonts w:ascii="宋体" w:hAnsi="宋体"/>
          <w:sz w:val="24"/>
        </w:rPr>
      </w:pPr>
      <w:r>
        <w:rPr>
          <w:rFonts w:ascii="宋体" w:hAnsi="宋体"/>
          <w:sz w:val="24"/>
        </w:rPr>
        <w:t>（11）严格按照《基金法》、《基金合同》及其他有关规定，履行信息披露及报告义务；</w:t>
      </w:r>
    </w:p>
    <w:p w14:paraId="34F52E79" w14:textId="77777777" w:rsidR="008A6127" w:rsidRDefault="00437D9F">
      <w:pPr>
        <w:snapToGrid w:val="0"/>
        <w:spacing w:line="360" w:lineRule="auto"/>
        <w:ind w:firstLineChars="200" w:firstLine="480"/>
        <w:rPr>
          <w:rFonts w:ascii="宋体" w:hAnsi="宋体"/>
          <w:sz w:val="24"/>
        </w:rPr>
      </w:pPr>
      <w:r>
        <w:rPr>
          <w:rFonts w:ascii="宋体" w:hAnsi="宋体"/>
          <w:sz w:val="24"/>
        </w:rPr>
        <w:t>（12）保守基金商业秘密，不泄露基金投资计划、投资意向等。除《基金法》、《基金合同》及其他有关规定另有规定外，在基金信息公开披露前应予保密，不</w:t>
      </w:r>
      <w:r>
        <w:rPr>
          <w:rFonts w:ascii="宋体" w:hAnsi="宋体" w:hint="eastAsia"/>
          <w:sz w:val="24"/>
        </w:rPr>
        <w:t>得向</w:t>
      </w:r>
      <w:r>
        <w:rPr>
          <w:rFonts w:ascii="宋体" w:hAnsi="宋体"/>
          <w:sz w:val="24"/>
        </w:rPr>
        <w:t>他人泄露</w:t>
      </w:r>
      <w:r>
        <w:rPr>
          <w:rFonts w:ascii="宋体" w:hAnsi="宋体" w:hint="eastAsia"/>
          <w:sz w:val="24"/>
        </w:rPr>
        <w:t>，向审计、法律等外部专业顾问提供必要信息的情况除外</w:t>
      </w:r>
      <w:r>
        <w:rPr>
          <w:rFonts w:ascii="宋体" w:hAnsi="宋体"/>
          <w:sz w:val="24"/>
        </w:rPr>
        <w:t>；</w:t>
      </w:r>
    </w:p>
    <w:p w14:paraId="3D04A0A3" w14:textId="77777777" w:rsidR="008A6127" w:rsidRDefault="00437D9F">
      <w:pPr>
        <w:snapToGrid w:val="0"/>
        <w:spacing w:line="360" w:lineRule="auto"/>
        <w:ind w:firstLineChars="200" w:firstLine="480"/>
        <w:rPr>
          <w:rFonts w:ascii="宋体" w:hAnsi="宋体"/>
          <w:sz w:val="24"/>
        </w:rPr>
      </w:pPr>
      <w:r>
        <w:rPr>
          <w:rFonts w:ascii="宋体" w:hAnsi="宋体"/>
          <w:sz w:val="24"/>
        </w:rPr>
        <w:t>（13）按《基金合同》的约定确定基金收益分配方案，及时向基金份额持有人分配基金收益；</w:t>
      </w:r>
    </w:p>
    <w:p w14:paraId="75936E65" w14:textId="77777777" w:rsidR="008A6127" w:rsidRDefault="00437D9F">
      <w:pPr>
        <w:snapToGrid w:val="0"/>
        <w:spacing w:line="360" w:lineRule="auto"/>
        <w:ind w:firstLineChars="200" w:firstLine="480"/>
        <w:rPr>
          <w:rFonts w:ascii="宋体" w:hAnsi="宋体"/>
          <w:sz w:val="24"/>
        </w:rPr>
      </w:pPr>
      <w:r>
        <w:rPr>
          <w:rFonts w:ascii="宋体" w:hAnsi="宋体"/>
          <w:sz w:val="24"/>
        </w:rPr>
        <w:t>（14）按规定受理申购与赎回申请，及时、足额支付赎回款项；</w:t>
      </w:r>
    </w:p>
    <w:p w14:paraId="33FF0916" w14:textId="77777777" w:rsidR="008A6127" w:rsidRDefault="00437D9F">
      <w:pPr>
        <w:snapToGrid w:val="0"/>
        <w:spacing w:line="360" w:lineRule="auto"/>
        <w:ind w:firstLineChars="200" w:firstLine="480"/>
        <w:rPr>
          <w:rFonts w:ascii="宋体" w:hAnsi="宋体"/>
          <w:sz w:val="24"/>
        </w:rPr>
      </w:pPr>
      <w:r>
        <w:rPr>
          <w:rFonts w:ascii="宋体" w:hAnsi="宋体"/>
          <w:sz w:val="24"/>
        </w:rPr>
        <w:t>（15）依据《基金法》、《基金合同》及其他有关规定召集基金份额持有人大会或配合基金托管人、基金份额持有人依法召集基金份额持有人大会；</w:t>
      </w:r>
    </w:p>
    <w:p w14:paraId="5A0C5626" w14:textId="77777777" w:rsidR="008A6127" w:rsidRDefault="00437D9F">
      <w:pPr>
        <w:snapToGrid w:val="0"/>
        <w:spacing w:line="360" w:lineRule="auto"/>
        <w:ind w:firstLineChars="200" w:firstLine="480"/>
        <w:rPr>
          <w:rFonts w:ascii="宋体" w:hAnsi="宋体"/>
          <w:sz w:val="24"/>
        </w:rPr>
      </w:pPr>
      <w:r>
        <w:rPr>
          <w:rFonts w:ascii="宋体" w:hAnsi="宋体"/>
          <w:sz w:val="24"/>
        </w:rPr>
        <w:t>（16）按规定保存基金财产管理业务活动的会计账册、报表、记录和其他相关资料</w:t>
      </w:r>
      <w:r>
        <w:rPr>
          <w:rFonts w:ascii="宋体" w:hAnsi="宋体" w:hint="eastAsia"/>
          <w:sz w:val="24"/>
        </w:rPr>
        <w:t>不低于法律法规规定的最低期限</w:t>
      </w:r>
      <w:r>
        <w:rPr>
          <w:rFonts w:ascii="宋体" w:hAnsi="宋体"/>
          <w:sz w:val="24"/>
        </w:rPr>
        <w:t>；</w:t>
      </w:r>
    </w:p>
    <w:p w14:paraId="2651E2BF" w14:textId="77777777" w:rsidR="008A6127" w:rsidRDefault="00437D9F">
      <w:pPr>
        <w:snapToGrid w:val="0"/>
        <w:spacing w:line="360" w:lineRule="auto"/>
        <w:ind w:firstLineChars="200" w:firstLine="480"/>
        <w:rPr>
          <w:rFonts w:ascii="宋体" w:hAnsi="宋体"/>
          <w:sz w:val="24"/>
        </w:rPr>
      </w:pPr>
      <w:r>
        <w:rPr>
          <w:rFonts w:ascii="宋体" w:hAnsi="宋体"/>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2E74854A" w14:textId="77777777" w:rsidR="008A6127" w:rsidRDefault="00437D9F">
      <w:pPr>
        <w:snapToGrid w:val="0"/>
        <w:spacing w:line="360" w:lineRule="auto"/>
        <w:ind w:firstLineChars="200" w:firstLine="480"/>
        <w:rPr>
          <w:rFonts w:ascii="宋体" w:hAnsi="宋体"/>
          <w:sz w:val="24"/>
        </w:rPr>
      </w:pPr>
      <w:r>
        <w:rPr>
          <w:rFonts w:ascii="宋体" w:hAnsi="宋体"/>
          <w:sz w:val="24"/>
        </w:rPr>
        <w:t>（18）组织并参加基金财产清算小</w:t>
      </w:r>
      <w:r>
        <w:rPr>
          <w:rFonts w:ascii="宋体" w:hAnsi="宋体" w:hint="eastAsia"/>
          <w:sz w:val="24"/>
        </w:rPr>
        <w:t>组，参</w:t>
      </w:r>
      <w:r>
        <w:rPr>
          <w:rFonts w:ascii="宋体" w:hAnsi="宋体"/>
          <w:sz w:val="24"/>
        </w:rPr>
        <w:t>与基金财产的保管、清理、估价、变现和分配；</w:t>
      </w:r>
    </w:p>
    <w:p w14:paraId="472A41CC" w14:textId="77777777" w:rsidR="008A6127" w:rsidRDefault="00437D9F">
      <w:pPr>
        <w:snapToGrid w:val="0"/>
        <w:spacing w:line="360" w:lineRule="auto"/>
        <w:ind w:firstLineChars="200" w:firstLine="480"/>
        <w:rPr>
          <w:rFonts w:ascii="宋体" w:hAnsi="宋体"/>
          <w:sz w:val="24"/>
        </w:rPr>
      </w:pPr>
      <w:r>
        <w:rPr>
          <w:rFonts w:ascii="宋体" w:hAnsi="宋体"/>
          <w:sz w:val="24"/>
        </w:rPr>
        <w:t>（19）面临解散、依法被撤销或者被依法宣告破产时，及时报告中国证监会</w:t>
      </w:r>
      <w:r>
        <w:rPr>
          <w:rFonts w:ascii="宋体" w:hAnsi="宋体"/>
          <w:sz w:val="24"/>
        </w:rPr>
        <w:lastRenderedPageBreak/>
        <w:t>并通知基金托管人；</w:t>
      </w:r>
    </w:p>
    <w:p w14:paraId="3B2B07C0" w14:textId="77777777" w:rsidR="008A6127" w:rsidRDefault="00437D9F">
      <w:pPr>
        <w:snapToGrid w:val="0"/>
        <w:spacing w:line="360" w:lineRule="auto"/>
        <w:ind w:firstLineChars="200" w:firstLine="480"/>
        <w:rPr>
          <w:rFonts w:ascii="宋体" w:hAnsi="宋体"/>
          <w:sz w:val="24"/>
        </w:rPr>
      </w:pPr>
      <w:r>
        <w:rPr>
          <w:rFonts w:ascii="宋体" w:hAnsi="宋体"/>
          <w:sz w:val="24"/>
        </w:rPr>
        <w:t>（20）因违反《基金合同》导致基金财产的损失或损害基金份额持有人合法权益时，应当承担赔偿责任，其赔偿责任不因其退任而免除；</w:t>
      </w:r>
    </w:p>
    <w:p w14:paraId="7CD52604" w14:textId="77777777" w:rsidR="008A6127" w:rsidRDefault="00437D9F">
      <w:pPr>
        <w:snapToGrid w:val="0"/>
        <w:spacing w:line="360" w:lineRule="auto"/>
        <w:ind w:firstLineChars="200" w:firstLine="480"/>
        <w:rPr>
          <w:rFonts w:ascii="宋体" w:hAnsi="宋体"/>
          <w:sz w:val="24"/>
        </w:rPr>
      </w:pPr>
      <w:r>
        <w:rPr>
          <w:rFonts w:ascii="宋体" w:hAnsi="宋体"/>
          <w:sz w:val="24"/>
        </w:rPr>
        <w:t>（21）监督基金托管人按法律法规和《基金合同》规定履行自己的义务，基金托管人违反《基金合同》造成基金财产损失时，基金管理人应为基金份额持有人利益向基金托管人追偿；</w:t>
      </w:r>
    </w:p>
    <w:p w14:paraId="18205C6B" w14:textId="77777777" w:rsidR="008A6127" w:rsidRDefault="00437D9F">
      <w:pPr>
        <w:snapToGrid w:val="0"/>
        <w:spacing w:line="360" w:lineRule="auto"/>
        <w:ind w:firstLineChars="200" w:firstLine="480"/>
        <w:rPr>
          <w:rFonts w:ascii="宋体" w:hAnsi="宋体"/>
          <w:sz w:val="24"/>
        </w:rPr>
      </w:pPr>
      <w:r>
        <w:rPr>
          <w:rFonts w:ascii="宋体" w:hAnsi="宋体"/>
          <w:sz w:val="24"/>
        </w:rPr>
        <w:t>（22）当基金管理人将其义务委托第三方处理时，应当对第三方处理有关基金事务的行为承担责任；</w:t>
      </w:r>
    </w:p>
    <w:p w14:paraId="2C863D2E" w14:textId="77777777" w:rsidR="008A6127" w:rsidRDefault="00437D9F">
      <w:pPr>
        <w:snapToGrid w:val="0"/>
        <w:spacing w:line="360" w:lineRule="auto"/>
        <w:ind w:firstLineChars="200" w:firstLine="480"/>
        <w:rPr>
          <w:rFonts w:ascii="宋体" w:hAnsi="宋体"/>
          <w:sz w:val="24"/>
        </w:rPr>
      </w:pPr>
      <w:r>
        <w:rPr>
          <w:rFonts w:ascii="宋体" w:hAnsi="宋体"/>
          <w:sz w:val="24"/>
        </w:rPr>
        <w:t>（23）以基金管理人名义，代表基金份额持有人利益行使诉讼权利或实施其他法律行为；</w:t>
      </w:r>
      <w:r>
        <w:rPr>
          <w:rFonts w:ascii="宋体" w:hAnsi="宋体"/>
          <w:sz w:val="24"/>
        </w:rPr>
        <w:tab/>
      </w:r>
    </w:p>
    <w:p w14:paraId="34E5CC0D" w14:textId="77777777" w:rsidR="008A6127" w:rsidRDefault="00437D9F">
      <w:pPr>
        <w:snapToGrid w:val="0"/>
        <w:spacing w:line="360" w:lineRule="auto"/>
        <w:ind w:firstLineChars="200" w:firstLine="480"/>
        <w:rPr>
          <w:rFonts w:ascii="宋体" w:hAnsi="宋体"/>
          <w:sz w:val="24"/>
        </w:rPr>
      </w:pPr>
      <w:r>
        <w:rPr>
          <w:rFonts w:ascii="宋体" w:hAnsi="宋体"/>
          <w:sz w:val="24"/>
        </w:rPr>
        <w:t>（24）基金管理人在募集期间未能达到基金</w:t>
      </w:r>
      <w:bookmarkStart w:id="84" w:name="_Hlt88823209"/>
      <w:bookmarkEnd w:id="84"/>
      <w:r>
        <w:rPr>
          <w:rFonts w:ascii="宋体" w:hAnsi="宋体"/>
          <w:sz w:val="24"/>
        </w:rPr>
        <w:t>的备案条件，《基金合同》不能生效，基金管理人承担全部募集费用，将已募集资金并加计银行同期</w:t>
      </w:r>
      <w:r>
        <w:rPr>
          <w:rFonts w:ascii="宋体" w:hAnsi="宋体" w:hint="eastAsia"/>
          <w:sz w:val="24"/>
        </w:rPr>
        <w:t>活期</w:t>
      </w:r>
      <w:r>
        <w:rPr>
          <w:rFonts w:ascii="宋体" w:hAnsi="宋体"/>
          <w:sz w:val="24"/>
        </w:rPr>
        <w:t>存款利息在基金募集期结束后</w:t>
      </w:r>
      <w:r>
        <w:rPr>
          <w:rFonts w:ascii="宋体" w:hAnsi="宋体" w:hint="eastAsia"/>
          <w:sz w:val="24"/>
        </w:rPr>
        <w:t>30</w:t>
      </w:r>
      <w:r>
        <w:rPr>
          <w:rFonts w:ascii="宋体" w:hAnsi="宋体"/>
          <w:sz w:val="24"/>
        </w:rPr>
        <w:t>日内退还基金认购人；</w:t>
      </w:r>
    </w:p>
    <w:p w14:paraId="6ED1ED5B" w14:textId="77777777" w:rsidR="008A6127" w:rsidRDefault="00437D9F">
      <w:pPr>
        <w:snapToGrid w:val="0"/>
        <w:spacing w:line="360" w:lineRule="auto"/>
        <w:ind w:firstLineChars="200" w:firstLine="480"/>
        <w:rPr>
          <w:rFonts w:ascii="宋体" w:hAnsi="宋体"/>
          <w:sz w:val="24"/>
        </w:rPr>
      </w:pPr>
      <w:r>
        <w:rPr>
          <w:rFonts w:ascii="宋体" w:hAnsi="宋体"/>
          <w:sz w:val="24"/>
        </w:rPr>
        <w:t>（25）执行生效的基金份额持有人大会的</w:t>
      </w:r>
      <w:r>
        <w:rPr>
          <w:rFonts w:ascii="宋体" w:hAnsi="宋体" w:hint="eastAsia"/>
          <w:sz w:val="24"/>
        </w:rPr>
        <w:t>决议</w:t>
      </w:r>
      <w:r>
        <w:rPr>
          <w:rFonts w:ascii="宋体" w:hAnsi="宋体"/>
          <w:sz w:val="24"/>
        </w:rPr>
        <w:t>；</w:t>
      </w:r>
    </w:p>
    <w:p w14:paraId="068BA5B6" w14:textId="77777777" w:rsidR="008A6127" w:rsidRDefault="00437D9F">
      <w:pPr>
        <w:snapToGrid w:val="0"/>
        <w:spacing w:line="360" w:lineRule="auto"/>
        <w:ind w:firstLineChars="200" w:firstLine="480"/>
        <w:rPr>
          <w:rFonts w:ascii="宋体" w:hAnsi="宋体"/>
          <w:sz w:val="24"/>
        </w:rPr>
      </w:pPr>
      <w:r>
        <w:rPr>
          <w:rFonts w:ascii="宋体" w:hAnsi="宋体"/>
          <w:sz w:val="24"/>
        </w:rPr>
        <w:t>（26）建立并保存基金份额持有人名册；</w:t>
      </w:r>
    </w:p>
    <w:p w14:paraId="3660EF17" w14:textId="77777777" w:rsidR="008A6127" w:rsidRDefault="00437D9F">
      <w:pPr>
        <w:snapToGrid w:val="0"/>
        <w:spacing w:line="360" w:lineRule="auto"/>
        <w:ind w:firstLineChars="200" w:firstLine="480"/>
        <w:rPr>
          <w:rFonts w:ascii="宋体" w:hAnsi="宋体"/>
          <w:sz w:val="24"/>
        </w:rPr>
      </w:pPr>
      <w:r>
        <w:rPr>
          <w:rFonts w:ascii="宋体" w:hAnsi="宋体"/>
          <w:sz w:val="24"/>
        </w:rPr>
        <w:t>（27）法律法规及中国证监会规定的和《基金合同》约定的其他义务。</w:t>
      </w:r>
      <w:bookmarkEnd w:id="82"/>
    </w:p>
    <w:p w14:paraId="3FC11322" w14:textId="77777777" w:rsidR="008A6127" w:rsidRDefault="00437D9F">
      <w:pPr>
        <w:adjustRightInd w:val="0"/>
        <w:snapToGrid w:val="0"/>
        <w:spacing w:line="360" w:lineRule="auto"/>
        <w:ind w:firstLineChars="200" w:firstLine="482"/>
        <w:rPr>
          <w:rFonts w:ascii="宋体" w:hAnsi="宋体"/>
          <w:b/>
          <w:bCs/>
          <w:sz w:val="24"/>
        </w:rPr>
      </w:pPr>
      <w:r>
        <w:rPr>
          <w:rFonts w:ascii="宋体" w:hAnsi="宋体" w:hint="eastAsia"/>
          <w:b/>
          <w:bCs/>
          <w:sz w:val="24"/>
        </w:rPr>
        <w:t>（四）基金管理人关于遵守法律法规的承诺</w:t>
      </w:r>
    </w:p>
    <w:p w14:paraId="6D07C7A8"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、基金管理人承诺遵守《基金法》及其他相关法律法规的规定，建立健全的内部控制制度，采取有效措施，防止违反《基金法》及其他相关法律法规行为的发生。</w:t>
      </w:r>
    </w:p>
    <w:p w14:paraId="5E835CBC"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、基金管理人承诺不从事下列行为：</w:t>
      </w:r>
    </w:p>
    <w:p w14:paraId="708976E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1</w:t>
      </w:r>
      <w:r>
        <w:rPr>
          <w:rFonts w:ascii="宋体" w:hAnsi="宋体" w:hint="eastAsia"/>
          <w:sz w:val="24"/>
        </w:rPr>
        <w:t>）将基金管理人固有财产或者他人财产混同于基金财产从事证券投资；</w:t>
      </w:r>
    </w:p>
    <w:p w14:paraId="64A4721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2</w:t>
      </w:r>
      <w:r>
        <w:rPr>
          <w:rFonts w:ascii="宋体" w:hAnsi="宋体" w:hint="eastAsia"/>
          <w:sz w:val="24"/>
        </w:rPr>
        <w:t>）不公平地对待管理的不同基金财产；</w:t>
      </w:r>
    </w:p>
    <w:p w14:paraId="13BA7A8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3</w:t>
      </w:r>
      <w:r>
        <w:rPr>
          <w:rFonts w:ascii="宋体" w:hAnsi="宋体" w:hint="eastAsia"/>
          <w:sz w:val="24"/>
        </w:rPr>
        <w:t>）利用基金财产或者职务之便为基金份额持有人以外的人牟取利益；</w:t>
      </w:r>
    </w:p>
    <w:p w14:paraId="73FA9B0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4</w:t>
      </w:r>
      <w:r>
        <w:rPr>
          <w:rFonts w:ascii="宋体" w:hAnsi="宋体" w:hint="eastAsia"/>
          <w:sz w:val="24"/>
        </w:rPr>
        <w:t>）向基金份额持有人违规承诺收益或者承担损失；</w:t>
      </w:r>
    </w:p>
    <w:p w14:paraId="70193DA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（5）侵占、挪用基金财产；</w:t>
      </w:r>
    </w:p>
    <w:p w14:paraId="135FADE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（6）泄露因职务便利获取的未公开信息、利用该信息从事或者明示、暗示他人从事相关的交易活动；</w:t>
      </w:r>
    </w:p>
    <w:p w14:paraId="589F363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（7）玩忽职守，不按照规定履行职责；</w:t>
      </w:r>
    </w:p>
    <w:p w14:paraId="6EF061E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（8）法律、行政法规和中国证监会规定禁止的其他行为。</w:t>
      </w:r>
    </w:p>
    <w:p w14:paraId="16E9C1E7" w14:textId="77777777" w:rsidR="008A6127" w:rsidRDefault="00437D9F">
      <w:pPr>
        <w:adjustRightInd w:val="0"/>
        <w:snapToGrid w:val="0"/>
        <w:spacing w:line="360" w:lineRule="auto"/>
        <w:ind w:firstLineChars="200" w:firstLine="482"/>
        <w:rPr>
          <w:rFonts w:ascii="宋体" w:hAnsi="宋体"/>
          <w:b/>
          <w:bCs/>
          <w:sz w:val="24"/>
        </w:rPr>
      </w:pPr>
      <w:r>
        <w:rPr>
          <w:rFonts w:ascii="宋体" w:hAnsi="宋体" w:hint="eastAsia"/>
          <w:b/>
          <w:bCs/>
          <w:sz w:val="24"/>
        </w:rPr>
        <w:lastRenderedPageBreak/>
        <w:t>（五）基金管理人关于禁止性行为的承诺</w:t>
      </w:r>
    </w:p>
    <w:p w14:paraId="20C077B0" w14:textId="77777777" w:rsidR="008A6127" w:rsidRDefault="00437D9F">
      <w:pPr>
        <w:snapToGrid w:val="0"/>
        <w:spacing w:line="360" w:lineRule="auto"/>
        <w:ind w:firstLineChars="200" w:firstLine="480"/>
        <w:rPr>
          <w:rFonts w:ascii="宋体" w:hAnsi="宋体"/>
          <w:sz w:val="24"/>
        </w:rPr>
      </w:pPr>
      <w:r>
        <w:rPr>
          <w:rFonts w:ascii="宋体" w:hAnsi="宋体"/>
          <w:sz w:val="24"/>
        </w:rPr>
        <w:t>为维护基金份额持有人的合法权益，基金财产不得用于下列投资或者活动：</w:t>
      </w:r>
    </w:p>
    <w:p w14:paraId="12BC5A54" w14:textId="77777777" w:rsidR="008A6127" w:rsidRDefault="00437D9F">
      <w:pPr>
        <w:snapToGrid w:val="0"/>
        <w:spacing w:line="360" w:lineRule="auto"/>
        <w:ind w:firstLineChars="200" w:firstLine="480"/>
        <w:rPr>
          <w:rFonts w:ascii="宋体" w:hAnsi="宋体"/>
          <w:sz w:val="24"/>
        </w:rPr>
      </w:pPr>
      <w:r>
        <w:rPr>
          <w:rFonts w:ascii="宋体" w:hAnsi="宋体"/>
          <w:sz w:val="24"/>
        </w:rPr>
        <w:t>（1）承销证券；</w:t>
      </w:r>
    </w:p>
    <w:p w14:paraId="5EE2159E"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2</w:t>
      </w:r>
      <w:r>
        <w:rPr>
          <w:rFonts w:ascii="宋体" w:hAnsi="宋体"/>
          <w:sz w:val="24"/>
        </w:rPr>
        <w:t>）</w:t>
      </w:r>
      <w:r>
        <w:rPr>
          <w:rFonts w:ascii="宋体" w:hAnsi="宋体" w:hint="eastAsia"/>
          <w:sz w:val="24"/>
        </w:rPr>
        <w:t>违反规定</w:t>
      </w:r>
      <w:r>
        <w:rPr>
          <w:rFonts w:ascii="宋体" w:hAnsi="宋体"/>
          <w:sz w:val="24"/>
        </w:rPr>
        <w:t>向他人贷款或者提供担保；</w:t>
      </w:r>
    </w:p>
    <w:p w14:paraId="226424B8"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3</w:t>
      </w:r>
      <w:r>
        <w:rPr>
          <w:rFonts w:ascii="宋体" w:hAnsi="宋体"/>
          <w:sz w:val="24"/>
        </w:rPr>
        <w:t>）从事承担无限责任的投资；</w:t>
      </w:r>
    </w:p>
    <w:p w14:paraId="76E163E8"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4</w:t>
      </w:r>
      <w:r>
        <w:rPr>
          <w:rFonts w:ascii="宋体" w:hAnsi="宋体"/>
          <w:sz w:val="24"/>
        </w:rPr>
        <w:t>）买卖其他基金份额，但是</w:t>
      </w:r>
      <w:r>
        <w:rPr>
          <w:rFonts w:ascii="宋体" w:hAnsi="宋体" w:hint="eastAsia"/>
          <w:sz w:val="24"/>
        </w:rPr>
        <w:t>中国证监会</w:t>
      </w:r>
      <w:r>
        <w:rPr>
          <w:rFonts w:ascii="宋体" w:hAnsi="宋体"/>
          <w:sz w:val="24"/>
        </w:rPr>
        <w:t>另有规定的除外；</w:t>
      </w:r>
    </w:p>
    <w:p w14:paraId="3FC2BCE8"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5</w:t>
      </w:r>
      <w:r>
        <w:rPr>
          <w:rFonts w:ascii="宋体" w:hAnsi="宋体"/>
          <w:sz w:val="24"/>
        </w:rPr>
        <w:t>）向其基金管理人、基金托管人出资；</w:t>
      </w:r>
    </w:p>
    <w:p w14:paraId="2CD5F36A"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6</w:t>
      </w:r>
      <w:r>
        <w:rPr>
          <w:rFonts w:ascii="宋体" w:hAnsi="宋体"/>
          <w:sz w:val="24"/>
        </w:rPr>
        <w:t>）从事内幕交易、操纵证券交易价格及其他不正当的证券交易活动；</w:t>
      </w:r>
    </w:p>
    <w:p w14:paraId="26E7E8E6"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7</w:t>
      </w:r>
      <w:r>
        <w:rPr>
          <w:rFonts w:ascii="宋体" w:hAnsi="宋体"/>
          <w:sz w:val="24"/>
        </w:rPr>
        <w:t>）法律</w:t>
      </w:r>
      <w:r>
        <w:rPr>
          <w:rFonts w:ascii="宋体" w:hAnsi="宋体" w:hint="eastAsia"/>
          <w:sz w:val="24"/>
        </w:rPr>
        <w:t>、行政</w:t>
      </w:r>
      <w:r>
        <w:rPr>
          <w:rFonts w:ascii="宋体" w:hAnsi="宋体"/>
          <w:sz w:val="24"/>
        </w:rPr>
        <w:t>法规</w:t>
      </w:r>
      <w:r>
        <w:rPr>
          <w:rFonts w:ascii="宋体" w:hAnsi="宋体" w:hint="eastAsia"/>
          <w:sz w:val="24"/>
        </w:rPr>
        <w:t>和</w:t>
      </w:r>
      <w:r>
        <w:rPr>
          <w:rFonts w:ascii="宋体" w:hAnsi="宋体"/>
          <w:sz w:val="24"/>
        </w:rPr>
        <w:t>中国证监会规定禁止的其他活动</w:t>
      </w:r>
      <w:r>
        <w:rPr>
          <w:rFonts w:ascii="宋体" w:hAnsi="宋体" w:hint="eastAsia"/>
          <w:sz w:val="24"/>
        </w:rPr>
        <w:t>。</w:t>
      </w:r>
    </w:p>
    <w:p w14:paraId="29DE8CA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如法律法规或监管部门取消上述禁止性规定，基金管理人在履行适当程序后，则本基金投资不再受相关限制，无需经基金份额持有人大会审议。</w:t>
      </w:r>
    </w:p>
    <w:p w14:paraId="59C6DF59" w14:textId="77777777" w:rsidR="008A6127" w:rsidRDefault="00437D9F">
      <w:pPr>
        <w:adjustRightInd w:val="0"/>
        <w:snapToGrid w:val="0"/>
        <w:spacing w:line="360" w:lineRule="auto"/>
        <w:ind w:firstLineChars="200" w:firstLine="482"/>
        <w:rPr>
          <w:rFonts w:ascii="宋体" w:hAnsi="宋体"/>
          <w:b/>
          <w:bCs/>
          <w:sz w:val="24"/>
        </w:rPr>
      </w:pPr>
      <w:r>
        <w:rPr>
          <w:rFonts w:ascii="宋体" w:hAnsi="宋体" w:hint="eastAsia"/>
          <w:b/>
          <w:bCs/>
          <w:sz w:val="24"/>
        </w:rPr>
        <w:t>（六）基金经理承诺</w:t>
      </w:r>
    </w:p>
    <w:p w14:paraId="3D733CC3"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、依照有关法律、法规和基金合同的规定，本着勤勉尽责的原则为基金份额持有人谋取最大利益；</w:t>
      </w:r>
    </w:p>
    <w:p w14:paraId="08EEE01B"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、不违反现行有效的有关法律、法规、规章、基金合同和中国证监会的有关规定，不利用职务之便为自己、受雇人或基金份额持有人以外的人谋取利益；</w:t>
      </w:r>
    </w:p>
    <w:p w14:paraId="6CD3B569"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、不泄露在任职期间知悉的有关证券、基金的商业秘密，尚未依法公开的基金投资内容、基金投资计划等信息，或利用该信息从事或者明示、暗示他人从事相关的交易活动；</w:t>
      </w:r>
    </w:p>
    <w:p w14:paraId="10E378DB"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、不以任何形式为其他组织或个人进行证券交易。</w:t>
      </w:r>
    </w:p>
    <w:p w14:paraId="01A018D8" w14:textId="77777777" w:rsidR="008A6127" w:rsidRDefault="00437D9F">
      <w:pPr>
        <w:adjustRightInd w:val="0"/>
        <w:snapToGrid w:val="0"/>
        <w:spacing w:line="360" w:lineRule="auto"/>
        <w:ind w:firstLineChars="200" w:firstLine="482"/>
        <w:rPr>
          <w:rFonts w:ascii="宋体" w:hAnsi="宋体"/>
          <w:b/>
          <w:bCs/>
          <w:sz w:val="24"/>
        </w:rPr>
      </w:pPr>
      <w:r>
        <w:rPr>
          <w:rFonts w:ascii="宋体" w:hAnsi="宋体" w:hint="eastAsia"/>
          <w:b/>
          <w:bCs/>
          <w:sz w:val="24"/>
        </w:rPr>
        <w:t>（七）基金管理人的内部控制制度</w:t>
      </w:r>
    </w:p>
    <w:p w14:paraId="75E5BB2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公司已建立了一套层级明确、职责清晰的相关内部控制制度及具体操作流程。具体涵盖了投资、研究、交易、运营、销售、市场等相关业务，有效的保证了内部控制体系的健全及业务的合</w:t>
      </w:r>
      <w:proofErr w:type="gramStart"/>
      <w:r>
        <w:rPr>
          <w:rFonts w:ascii="宋体" w:hAnsi="宋体" w:hint="eastAsia"/>
          <w:sz w:val="24"/>
        </w:rPr>
        <w:t>规</w:t>
      </w:r>
      <w:proofErr w:type="gramEnd"/>
      <w:r>
        <w:rPr>
          <w:rFonts w:ascii="宋体" w:hAnsi="宋体" w:hint="eastAsia"/>
          <w:sz w:val="24"/>
        </w:rPr>
        <w:t>开展。</w:t>
      </w:r>
    </w:p>
    <w:p w14:paraId="094AD41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公司内部控制遵循以下原则</w:t>
      </w:r>
      <w:r>
        <w:rPr>
          <w:rFonts w:ascii="宋体" w:hAnsi="宋体" w:hint="eastAsia"/>
          <w:sz w:val="24"/>
        </w:rPr>
        <w:t>:</w:t>
      </w:r>
    </w:p>
    <w:p w14:paraId="16B6550A" w14:textId="77777777" w:rsidR="008A6127" w:rsidRDefault="00437D9F">
      <w:pPr>
        <w:snapToGrid w:val="0"/>
        <w:spacing w:line="360" w:lineRule="auto"/>
        <w:ind w:firstLineChars="200" w:firstLine="480"/>
        <w:rPr>
          <w:rFonts w:ascii="宋体" w:hAnsi="宋体"/>
          <w:sz w:val="24"/>
        </w:rPr>
      </w:pPr>
      <w:r>
        <w:rPr>
          <w:rFonts w:ascii="宋体" w:hAnsi="宋体"/>
          <w:sz w:val="24"/>
        </w:rPr>
        <w:t>（1）健全性原则。内部控制涵盖公司的各项业务、各个部门或机构和各级人员，并包括决策、执行、监督、反馈等各个环节。</w:t>
      </w:r>
    </w:p>
    <w:p w14:paraId="6BE91155"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2</w:t>
      </w:r>
      <w:r>
        <w:rPr>
          <w:rFonts w:ascii="宋体" w:hAnsi="宋体"/>
          <w:sz w:val="24"/>
        </w:rPr>
        <w:t>）有效性原则。通过科学的内控手段和方法，建立合理的内控程序，维护内控制度的有效执行。</w:t>
      </w:r>
    </w:p>
    <w:p w14:paraId="674AECA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r>
        <w:rPr>
          <w:rFonts w:ascii="宋体" w:hAnsi="宋体"/>
          <w:sz w:val="24"/>
        </w:rPr>
        <w:t>独立性原则。公司各机构、部门和岗位职责的设置保持相对独立，公</w:t>
      </w:r>
      <w:r>
        <w:rPr>
          <w:rFonts w:ascii="宋体" w:hAnsi="宋体"/>
          <w:sz w:val="24"/>
        </w:rPr>
        <w:lastRenderedPageBreak/>
        <w:t>司基金资产、自有资产与其他资产的运作相互分离。</w:t>
      </w:r>
    </w:p>
    <w:p w14:paraId="4064B4F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相互制约原则。公司设置的各部门、各岗位权责分明、相互制衡。</w:t>
      </w:r>
    </w:p>
    <w:p w14:paraId="727FC883"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5</w:t>
      </w:r>
      <w:r>
        <w:rPr>
          <w:rFonts w:ascii="宋体" w:hAnsi="宋体"/>
          <w:sz w:val="24"/>
        </w:rPr>
        <w:t>）成本效益原则。公司运用科学化的经营管理方法降低运作成本，提高经济效益，以合理的控制成本达到最佳的内部控制效果。</w:t>
      </w:r>
    </w:p>
    <w:p w14:paraId="2B3C46C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公司</w:t>
      </w:r>
      <w:r>
        <w:rPr>
          <w:rFonts w:ascii="宋体" w:hAnsi="宋体" w:hint="eastAsia"/>
          <w:sz w:val="24"/>
        </w:rPr>
        <w:t>依据</w:t>
      </w:r>
      <w:r>
        <w:rPr>
          <w:rFonts w:ascii="宋体" w:hAnsi="宋体"/>
          <w:sz w:val="24"/>
        </w:rPr>
        <w:t>自身经营特点设立顺序递进、权责统一、严密有效的内控防线：</w:t>
      </w:r>
    </w:p>
    <w:p w14:paraId="4274C7A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（1）建立以各岗位目标责任制为基础的第一道内控防线。</w:t>
      </w:r>
      <w:r>
        <w:rPr>
          <w:rFonts w:ascii="宋体" w:hAnsi="宋体"/>
          <w:sz w:val="24"/>
        </w:rPr>
        <w:t>各岗位职责明确，有详细的岗位说明书和业务流程，各岗位人员在上岗前均应知悉并以书面方式承诺遵守，在授权范围内承担责任。</w:t>
      </w:r>
    </w:p>
    <w:p w14:paraId="151CB08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（2）建立相关部门、相关岗位之间相互监督制衡的第二道内控防线。公司在相关部门和相关岗位之间建立</w:t>
      </w:r>
      <w:r>
        <w:rPr>
          <w:rFonts w:ascii="宋体" w:hAnsi="宋体"/>
          <w:sz w:val="24"/>
        </w:rPr>
        <w:t>重要业务处理凭据传递和信息沟通制度，</w:t>
      </w:r>
      <w:r>
        <w:rPr>
          <w:rFonts w:ascii="宋体" w:hAnsi="宋体" w:hint="eastAsia"/>
          <w:sz w:val="24"/>
        </w:rPr>
        <w:t>后续部门及岗位对前一部门及岗位负有监督责任</w:t>
      </w:r>
      <w:r>
        <w:rPr>
          <w:rFonts w:ascii="宋体" w:hAnsi="宋体"/>
          <w:sz w:val="24"/>
        </w:rPr>
        <w:t>。</w:t>
      </w:r>
    </w:p>
    <w:p w14:paraId="08AC2659" w14:textId="4BDB7073" w:rsidR="008A6127" w:rsidRDefault="00437D9F">
      <w:pPr>
        <w:snapToGrid w:val="0"/>
        <w:spacing w:line="360" w:lineRule="auto"/>
        <w:ind w:firstLineChars="200" w:firstLine="480"/>
        <w:rPr>
          <w:rFonts w:ascii="宋体" w:hAnsi="宋体"/>
          <w:sz w:val="24"/>
        </w:rPr>
      </w:pPr>
      <w:r>
        <w:rPr>
          <w:rFonts w:ascii="宋体" w:hAnsi="宋体" w:hint="eastAsia"/>
          <w:sz w:val="24"/>
        </w:rPr>
        <w:t>（3）建立以公司督察长、监察稽核部对各岗位、各部门、各机构、各项业务全面实施监督反馈的第三道防线。督察长、监察稽核部</w:t>
      </w:r>
      <w:r>
        <w:rPr>
          <w:rFonts w:ascii="宋体" w:hAnsi="宋体"/>
          <w:sz w:val="24"/>
        </w:rPr>
        <w:t>独立于其他部门，对内部控制制度的执行情况实行严格的检查和反馈。</w:t>
      </w:r>
    </w:p>
    <w:p w14:paraId="4F47E3D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3、公司</w:t>
      </w:r>
      <w:r>
        <w:rPr>
          <w:rFonts w:ascii="宋体" w:hAnsi="宋体"/>
          <w:sz w:val="24"/>
        </w:rPr>
        <w:t>建立严谨、有效的授权管理制度，授权控制贯穿于公司经营活动的始终。</w:t>
      </w:r>
    </w:p>
    <w:p w14:paraId="13FDBD0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确保股东会、董事会、监事和</w:t>
      </w:r>
      <w:r>
        <w:rPr>
          <w:rFonts w:ascii="宋体" w:hAnsi="宋体" w:hint="eastAsia"/>
          <w:sz w:val="24"/>
        </w:rPr>
        <w:t>经</w:t>
      </w:r>
      <w:r>
        <w:rPr>
          <w:rFonts w:ascii="宋体" w:hAnsi="宋体"/>
          <w:sz w:val="24"/>
        </w:rPr>
        <w:t>理层充分了解和履行各自的职权，建立健全公司授权标准和程序，保证授权制度的贯彻执行。</w:t>
      </w:r>
    </w:p>
    <w:p w14:paraId="084A69C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公司各业务部门、分支机构和各级人员在规定授权范围内行使相应的职责。</w:t>
      </w:r>
    </w:p>
    <w:p w14:paraId="29C99B4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r>
        <w:rPr>
          <w:rFonts w:ascii="宋体" w:hAnsi="宋体"/>
          <w:sz w:val="24"/>
        </w:rPr>
        <w:t>公司重大业务授权采取书面形式，授权书上明确注明授权内容和时效。</w:t>
      </w:r>
    </w:p>
    <w:p w14:paraId="36573A1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公司授权要适当，对已获授权的部门和人员建立有效的评价和反馈机制，对已不适用的授权及时修改或取消授权。</w:t>
      </w:r>
    </w:p>
    <w:p w14:paraId="4B5CD79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 xml:space="preserve">基金管理人关于内部控制的声明 </w:t>
      </w:r>
    </w:p>
    <w:p w14:paraId="43C72454" w14:textId="77777777" w:rsidR="008A6127" w:rsidRDefault="00437D9F">
      <w:pPr>
        <w:snapToGrid w:val="0"/>
        <w:spacing w:line="360" w:lineRule="auto"/>
        <w:ind w:firstLineChars="200" w:firstLine="480"/>
        <w:rPr>
          <w:rFonts w:ascii="宋体" w:hAnsi="宋体"/>
          <w:sz w:val="24"/>
        </w:rPr>
      </w:pPr>
      <w:r>
        <w:rPr>
          <w:rFonts w:ascii="宋体" w:hAnsi="宋体"/>
          <w:sz w:val="24"/>
        </w:rPr>
        <w:t xml:space="preserve">（1）基金管理人确知建立、实施和维持内部控制制度是基金管理人董事会及管理层的责任； </w:t>
      </w:r>
    </w:p>
    <w:p w14:paraId="49C98301" w14:textId="77777777" w:rsidR="008A6127" w:rsidRDefault="00437D9F">
      <w:pPr>
        <w:snapToGrid w:val="0"/>
        <w:spacing w:line="360" w:lineRule="auto"/>
        <w:ind w:firstLineChars="200" w:firstLine="480"/>
        <w:rPr>
          <w:rFonts w:ascii="宋体" w:hAnsi="宋体"/>
          <w:sz w:val="24"/>
        </w:rPr>
      </w:pPr>
      <w:r>
        <w:rPr>
          <w:rFonts w:ascii="宋体" w:hAnsi="宋体"/>
          <w:sz w:val="24"/>
        </w:rPr>
        <w:t xml:space="preserve">（2）上述关于内部控制的披露真实、准确； </w:t>
      </w:r>
    </w:p>
    <w:p w14:paraId="52B3AB0F" w14:textId="77777777" w:rsidR="008A6127" w:rsidRDefault="00437D9F">
      <w:pPr>
        <w:snapToGrid w:val="0"/>
        <w:spacing w:line="360" w:lineRule="auto"/>
        <w:ind w:firstLineChars="200" w:firstLine="480"/>
        <w:rPr>
          <w:rFonts w:ascii="宋体" w:hAnsi="宋体"/>
          <w:sz w:val="24"/>
        </w:rPr>
      </w:pPr>
      <w:r>
        <w:rPr>
          <w:rFonts w:ascii="宋体" w:hAnsi="宋体"/>
          <w:sz w:val="24"/>
        </w:rPr>
        <w:t>（3）基金管理人承诺将根据市场环境的变化及公司的发展不断完善内部控制制度。</w:t>
      </w:r>
    </w:p>
    <w:p w14:paraId="51B6354A"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szCs w:val="22"/>
        </w:rPr>
        <w:br w:type="page"/>
      </w:r>
      <w:bookmarkStart w:id="85" w:name="_Toc360794406"/>
      <w:bookmarkStart w:id="86" w:name="_Toc421532542"/>
      <w:bookmarkStart w:id="87" w:name="_Toc17832"/>
      <w:bookmarkStart w:id="88" w:name="_Toc360793496"/>
      <w:bookmarkStart w:id="89" w:name="_Toc362533453"/>
      <w:bookmarkStart w:id="90" w:name="_Toc362455181"/>
      <w:bookmarkStart w:id="91" w:name="_Toc405455121"/>
      <w:bookmarkStart w:id="92" w:name="_Toc1394"/>
      <w:bookmarkStart w:id="93" w:name="_Toc360794098"/>
      <w:bookmarkStart w:id="94" w:name="_Toc26756"/>
      <w:bookmarkStart w:id="95" w:name="_Toc14333"/>
      <w:bookmarkStart w:id="96" w:name="_Toc360794514"/>
      <w:bookmarkStart w:id="97" w:name="_Toc15799"/>
      <w:bookmarkStart w:id="98" w:name="_Toc360793848"/>
      <w:bookmarkStart w:id="99" w:name="_Toc204678783"/>
      <w:r>
        <w:rPr>
          <w:rFonts w:ascii="Cambria" w:hAnsi="Cambria" w:hint="eastAsia"/>
          <w:sz w:val="32"/>
          <w:szCs w:val="32"/>
        </w:rPr>
        <w:lastRenderedPageBreak/>
        <w:t>基金托管人</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3BAAD559" w14:textId="77777777" w:rsidR="008A6127" w:rsidRDefault="00437D9F">
      <w:pPr>
        <w:snapToGrid w:val="0"/>
        <w:spacing w:line="360" w:lineRule="auto"/>
        <w:ind w:firstLineChars="200" w:firstLine="482"/>
        <w:rPr>
          <w:rFonts w:ascii="宋体" w:hAnsi="宋体"/>
          <w:b/>
          <w:sz w:val="24"/>
        </w:rPr>
      </w:pPr>
      <w:bookmarkStart w:id="100" w:name="_Hlt140627910"/>
      <w:bookmarkStart w:id="101" w:name="_Hlt88821694"/>
      <w:bookmarkEnd w:id="100"/>
      <w:bookmarkEnd w:id="101"/>
      <w:r>
        <w:rPr>
          <w:rFonts w:ascii="宋体" w:hAnsi="宋体" w:hint="eastAsia"/>
          <w:b/>
          <w:sz w:val="24"/>
        </w:rPr>
        <w:t>（一）基金托管人概况</w:t>
      </w:r>
    </w:p>
    <w:p w14:paraId="23C79C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1、基本情况</w:t>
      </w:r>
    </w:p>
    <w:p w14:paraId="5F8B1F1B"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名称：招商银行股份有限公司（以下简称“招商银行”）</w:t>
      </w:r>
    </w:p>
    <w:p w14:paraId="77353130"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设立日期：1987年3月31日</w:t>
      </w:r>
    </w:p>
    <w:p w14:paraId="4EACEB3C"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注册地址：深圳市深南大道7088号招商银行大厦</w:t>
      </w:r>
    </w:p>
    <w:p w14:paraId="5AC92CBE"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办公地址：深圳市深南大道7088号招商银行大厦</w:t>
      </w:r>
    </w:p>
    <w:p w14:paraId="72C66DF4"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注册资本：252.20亿元</w:t>
      </w:r>
    </w:p>
    <w:p w14:paraId="41753049"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法定代表人：缪建民</w:t>
      </w:r>
    </w:p>
    <w:p w14:paraId="47CA4A18"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行长：王小青（拟任）</w:t>
      </w:r>
    </w:p>
    <w:p w14:paraId="368951F0"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资产托管业务批准文号：证</w:t>
      </w:r>
      <w:proofErr w:type="gramStart"/>
      <w:r w:rsidRPr="006C7C15">
        <w:rPr>
          <w:rFonts w:ascii="宋体" w:hAnsi="宋体" w:hint="eastAsia"/>
          <w:sz w:val="24"/>
        </w:rPr>
        <w:t>监基金字</w:t>
      </w:r>
      <w:proofErr w:type="gramEnd"/>
      <w:r w:rsidRPr="006C7C15">
        <w:rPr>
          <w:rFonts w:ascii="宋体" w:hAnsi="宋体" w:hint="eastAsia"/>
          <w:sz w:val="24"/>
        </w:rPr>
        <w:t>[2002]83号</w:t>
      </w:r>
    </w:p>
    <w:p w14:paraId="4D192826"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电话：4006195555</w:t>
      </w:r>
    </w:p>
    <w:p w14:paraId="592609FA"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传真：0755-83195201</w:t>
      </w:r>
    </w:p>
    <w:p w14:paraId="2359A34C"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资产托管部信息披露负责人：张姗</w:t>
      </w:r>
    </w:p>
    <w:p w14:paraId="40DA6E88"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 xml:space="preserve"> 2、发展概况   </w:t>
      </w:r>
    </w:p>
    <w:p w14:paraId="16CF1BAB"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招商银行于1987年在深圳创建，是中国境内第一家完全由企业法人持股的股份制商业银行，成立38年来逐步发展成为沪港两地上市，拥有商业银行、金融租赁、基金管理、人寿保险、境外投行、消费金融、理财子公司等金融牌照的银行集团。成立以来，招商银行始终坚持服务立行、创新驱动、科技兴行、人才强行，以自身转型发展助力社会经济高质量发展，全力服务居民和企业客户财富增长、资产安全、资金融通。截至2026年3月31日，本集团总资产134,848.82亿元人民币，高级法下资本充足率17.76%，权重法下资本充足率14.60%。</w:t>
      </w:r>
    </w:p>
    <w:p w14:paraId="226534CE"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2002年8月，招商银行成立基金托管部；2005年8月，经报中国证监会同意，更名为资产托管部，现下设基金券商团队、银保信托团队、养老金团队、业务管理团队、产品研发团队、风险管理团队、系统与数据团队、项目支持团队、运营管理团队、基金外包业务团队10个职能团队，现有员工261人。2002年11月，经中国人民银行和中国证监会批准获得证券投资基金托管业务资格，成为国内第一家获得该项业务资格上市银行；2003年4月，正式办理基金托管业务。招商银行作为托管业务资质最全的商业银行之一，拥有证券投资基金托管资格、</w:t>
      </w:r>
      <w:r w:rsidRPr="006C7C15">
        <w:rPr>
          <w:rFonts w:ascii="宋体" w:hAnsi="宋体" w:hint="eastAsia"/>
          <w:sz w:val="24"/>
        </w:rPr>
        <w:lastRenderedPageBreak/>
        <w:t>基本养老保险基金托管机构资格、受托投资管理托管业务托管资格、保险资金托管业务资格、企业年金基金托管业务资格、合格境外机构投资者托管（QFII）资格、合格境内机构投资者托管（QDII）资格、私募基金业务外包服务资格、存托凭证试点存</w:t>
      </w:r>
      <w:proofErr w:type="gramStart"/>
      <w:r w:rsidRPr="006C7C15">
        <w:rPr>
          <w:rFonts w:ascii="宋体" w:hAnsi="宋体" w:hint="eastAsia"/>
          <w:sz w:val="24"/>
        </w:rPr>
        <w:t>托业务</w:t>
      </w:r>
      <w:proofErr w:type="gramEnd"/>
      <w:r w:rsidRPr="006C7C15">
        <w:rPr>
          <w:rFonts w:ascii="宋体" w:hAnsi="宋体" w:hint="eastAsia"/>
          <w:sz w:val="24"/>
        </w:rPr>
        <w:t>等业务资格。</w:t>
      </w:r>
    </w:p>
    <w:p w14:paraId="1FA799D4"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招商银行资产托管结合自身在托管行业深耕24年的专业能力和创新精神，推出“招商银行托管+”服务品牌，以“</w:t>
      </w:r>
      <w:proofErr w:type="gramStart"/>
      <w:r w:rsidRPr="006C7C15">
        <w:rPr>
          <w:rFonts w:ascii="宋体" w:hAnsi="宋体" w:hint="eastAsia"/>
          <w:sz w:val="24"/>
        </w:rPr>
        <w:t>践行</w:t>
      </w:r>
      <w:proofErr w:type="gramEnd"/>
      <w:r w:rsidRPr="006C7C15">
        <w:rPr>
          <w:rFonts w:ascii="宋体" w:hAnsi="宋体" w:hint="eastAsia"/>
          <w:sz w:val="24"/>
        </w:rPr>
        <w:t>价值银行战略，致力于成为专业更精、科技更强、服务更佳的客户首选全球托管银行”</w:t>
      </w:r>
      <w:proofErr w:type="gramStart"/>
      <w:r w:rsidRPr="006C7C15">
        <w:rPr>
          <w:rFonts w:ascii="宋体" w:hAnsi="宋体" w:hint="eastAsia"/>
          <w:sz w:val="24"/>
        </w:rPr>
        <w:t>品牌愿景</w:t>
      </w:r>
      <w:proofErr w:type="gramEnd"/>
      <w:r w:rsidRPr="006C7C15">
        <w:rPr>
          <w:rFonts w:ascii="宋体" w:hAnsi="宋体" w:hint="eastAsia"/>
          <w:sz w:val="24"/>
        </w:rPr>
        <w:t>为指引，以“值得信赖的专家、贴心服务的管家、让价值持续增加、客户的体验更佳”的“4+目标”，以创新的“服务产品化”为方法论，全方位</w:t>
      </w:r>
      <w:proofErr w:type="gramStart"/>
      <w:r w:rsidRPr="006C7C15">
        <w:rPr>
          <w:rFonts w:ascii="宋体" w:hAnsi="宋体" w:hint="eastAsia"/>
          <w:sz w:val="24"/>
        </w:rPr>
        <w:t>助力资管机</w:t>
      </w:r>
      <w:proofErr w:type="gramEnd"/>
      <w:r w:rsidRPr="006C7C15">
        <w:rPr>
          <w:rFonts w:ascii="宋体" w:hAnsi="宋体" w:hint="eastAsia"/>
          <w:sz w:val="24"/>
        </w:rPr>
        <w:t>构实现可持续的高质量发展。招商银行资产托管围绕</w:t>
      </w:r>
      <w:proofErr w:type="gramStart"/>
      <w:r w:rsidRPr="006C7C15">
        <w:rPr>
          <w:rFonts w:ascii="宋体" w:hAnsi="宋体" w:hint="eastAsia"/>
          <w:sz w:val="24"/>
        </w:rPr>
        <w:t>资管全</w:t>
      </w:r>
      <w:proofErr w:type="gramEnd"/>
      <w:r w:rsidRPr="006C7C15">
        <w:rPr>
          <w:rFonts w:ascii="宋体" w:hAnsi="宋体" w:hint="eastAsia"/>
          <w:sz w:val="24"/>
        </w:rPr>
        <w:t>场景，打造了“如风运营”“大观投研”“见微数据”三个服务子品牌，不断创新托管系统、服务和产品：在业内率先推出“网上托管银行系统”、托管业务综合系统和“6S”托管服务标准，首家发布私募基金绩效分析报告，开办国内首个托管银行网站，推出国内首个托管大数据平台，成功托管国内第一只券商集合资产管理计划、第一只FOF、第一只信托资金计划、第一只股权私募基金、第一家实现货币市场基金赎回资金T+1到账、第一只境外银行QDII基金、第一只红利ETF基金、第一只“1+N”基金专户理财、第一家大小非解禁资产、第一单TOT保管，实现从单一托管服务商向全面投资者服务机构的转变，得到了同业认可。</w:t>
      </w:r>
    </w:p>
    <w:p w14:paraId="3C4CBC01" w14:textId="5582D83B" w:rsidR="008A6127" w:rsidRDefault="006C7C15">
      <w:pPr>
        <w:snapToGrid w:val="0"/>
        <w:spacing w:line="360" w:lineRule="auto"/>
        <w:rPr>
          <w:rFonts w:ascii="宋体" w:hAnsi="宋体"/>
          <w:sz w:val="24"/>
        </w:rPr>
      </w:pPr>
      <w:r w:rsidRPr="006C7C15">
        <w:rPr>
          <w:rFonts w:ascii="宋体" w:hAnsi="宋体" w:hint="eastAsia"/>
          <w:sz w:val="24"/>
        </w:rPr>
        <w:t>招商银行资产托管业务持续稳健发展，社会影响</w:t>
      </w:r>
      <w:proofErr w:type="gramStart"/>
      <w:r w:rsidRPr="006C7C15">
        <w:rPr>
          <w:rFonts w:ascii="宋体" w:hAnsi="宋体" w:hint="eastAsia"/>
          <w:sz w:val="24"/>
        </w:rPr>
        <w:t>力不断</w:t>
      </w:r>
      <w:proofErr w:type="gramEnd"/>
      <w:r w:rsidRPr="006C7C15">
        <w:rPr>
          <w:rFonts w:ascii="宋体" w:hAnsi="宋体" w:hint="eastAsia"/>
          <w:sz w:val="24"/>
        </w:rPr>
        <w:t>提升,近年来获得业内各类奖项荣誉。2016年5月 “托管通”荣获《银行家》2016中国金融创新 “十佳金融产品创新奖”； 6月荣获《财资》“中国最佳托管银行奖”，成为国内唯一获得该奖项的托管银行；7月荣获中国资产管理“金贝奖”“最佳资产托管银行”、《21世纪经济报道》“2016最佳资产托管银行”。2017年5月荣获《亚洲银行家》“中国年度托管银行奖”；6月荣获《财资》“中国最佳托管银行奖”；“全功能网上托管银行2.0”荣获《银行家》2017中国金融创新“十佳金融产品创新奖”。2018年1月荣获中央国债登记结算有限责任公司“2017年度优秀资产托管机构”奖；同月，托管大数据平台风险管理系统荣获2016-2017年度银监会系统“金点子”方案一等奖，以及中央金融团工委、全国金融青联第五届“双提升”金点子方案二等奖；3月荣获《中国基金报》 “最佳基金托管银行”奖；5月荣获国际财经权威媒体《亚洲银行家》“中国年度托管银行奖”；12月荣获</w:t>
      </w:r>
      <w:r w:rsidRPr="006C7C15">
        <w:rPr>
          <w:rFonts w:ascii="宋体" w:hAnsi="宋体" w:hint="eastAsia"/>
          <w:sz w:val="24"/>
        </w:rPr>
        <w:lastRenderedPageBreak/>
        <w:t>2018东方财富风云榜“2018年度最佳托管银行”、“20年最值得信赖托管银行”奖。2019年3月荣获《中国基金报》“2018年度最佳基金托管银行”奖；6月荣获《财资》“中国最佳托管机构”“中国最佳养老金托管机构”“中国最佳零售基金行政外包”三项大奖；12月荣获2019东方财富风云榜“2019年度最佳托管银行”奖。2020年1月，荣获中央国债登记结算有限责任公司“2019年度优秀资产托管机构”奖项；6月荣获《财资》“中国境内最佳托管机构”“最佳公募基金托管机构”“最佳公募基金行政外包机构”三项大奖；10月荣获《中国基金报》第二届中国公</w:t>
      </w:r>
      <w:proofErr w:type="gramStart"/>
      <w:r w:rsidRPr="006C7C15">
        <w:rPr>
          <w:rFonts w:ascii="宋体" w:hAnsi="宋体" w:hint="eastAsia"/>
          <w:sz w:val="24"/>
        </w:rPr>
        <w:t>募基金</w:t>
      </w:r>
      <w:proofErr w:type="gramEnd"/>
      <w:r w:rsidRPr="006C7C15">
        <w:rPr>
          <w:rFonts w:ascii="宋体" w:hAnsi="宋体" w:hint="eastAsia"/>
          <w:sz w:val="24"/>
        </w:rPr>
        <w:t>英华奖“2019年度最佳基金托管银行”奖。2021年1月，荣获中央国债登记结算有限责任公司“2020年度优秀资产托管机构”奖项；同月荣获2020东方财富风云榜“2020年度最受欢迎托管银行”奖项；2021年10月，《证券时报》“2021年度杰出资产托管银行天玑奖”；2021年12月，荣获《中国基金报》第三届中国公</w:t>
      </w:r>
      <w:proofErr w:type="gramStart"/>
      <w:r w:rsidRPr="006C7C15">
        <w:rPr>
          <w:rFonts w:ascii="宋体" w:hAnsi="宋体" w:hint="eastAsia"/>
          <w:sz w:val="24"/>
        </w:rPr>
        <w:t>募基金</w:t>
      </w:r>
      <w:proofErr w:type="gramEnd"/>
      <w:r w:rsidRPr="006C7C15">
        <w:rPr>
          <w:rFonts w:ascii="宋体" w:hAnsi="宋体" w:hint="eastAsia"/>
          <w:sz w:val="24"/>
        </w:rPr>
        <w:t>英华奖“2020年度最佳基金托管银行”；2022年1月荣获中央国债登记结算有限责任公司“2021年度优秀资产托管机构、估值业务杰出机构”奖项；9月荣获《财资》“中国最佳托管银行”“最佳公募基金托管银行”“最佳理财托管银行”三项大奖；12月荣获《证券时报》“2022年度杰出资产托管银行天玑奖”；2023年1月荣获中央国债登记结算有限责任公司“2022年度优秀资产托管机构”、银行间市场清算所股份有限公司“2022年度优秀托管机构”、全国银行间同业拆借中心“2022年度银行间本币市场托管业务市场创新奖”三项大奖；2023年4月，荣获《中国基金报》第二届中国基金业创新</w:t>
      </w:r>
      <w:proofErr w:type="gramStart"/>
      <w:r w:rsidRPr="006C7C15">
        <w:rPr>
          <w:rFonts w:ascii="宋体" w:hAnsi="宋体" w:hint="eastAsia"/>
          <w:sz w:val="24"/>
        </w:rPr>
        <w:t>英华奖</w:t>
      </w:r>
      <w:proofErr w:type="gramEnd"/>
      <w:r w:rsidRPr="006C7C15">
        <w:rPr>
          <w:rFonts w:ascii="宋体" w:hAnsi="宋体" w:hint="eastAsia"/>
          <w:sz w:val="24"/>
        </w:rPr>
        <w:t>“托管创新奖”；2023年9月，荣获《中国基金报》中国基金业英华奖“公募基金25年基金托管示范银行（全国性股份行）”；2023年12月，荣获《东方财富风云榜》“2023年度托管银行风云奖”。2024年1月，荣获中央国债登记结算有限责任公司“2023年度优秀资产托管机构”、“2023年度估值业务杰出机构”、“2023年度债市领军机构”、“2023年度中债绿债指数优秀承销机构”四项大奖；2024年2月，荣获泰康养老保险股份有限公司“2023年度最佳年金托管合作伙伴”奖。2024年4月，荣获中国基金报</w:t>
      </w:r>
      <w:proofErr w:type="gramStart"/>
      <w:r w:rsidRPr="006C7C15">
        <w:rPr>
          <w:rFonts w:ascii="宋体" w:hAnsi="宋体" w:hint="eastAsia"/>
          <w:sz w:val="24"/>
        </w:rPr>
        <w:t>“</w:t>
      </w:r>
      <w:proofErr w:type="gramEnd"/>
      <w:r w:rsidRPr="006C7C15">
        <w:rPr>
          <w:rFonts w:ascii="宋体" w:hAnsi="宋体" w:hint="eastAsia"/>
          <w:sz w:val="24"/>
        </w:rPr>
        <w:t>中国基金业英华奖-ETF20周年特别评选“优秀ETF托管人””奖。2024年6月，荣获上海清算所“2023年度优秀托管机构”奖。2024年8月，在《21世纪经济报道》主办的2024资产管理年会暨十七届21世纪【金贝】资产管理竞争力研究案例发布盛典上，“招商银行托管+”荣获“2024卓越影响力品牌”奖项；2024年9月，在2024</w:t>
      </w:r>
      <w:r w:rsidRPr="006C7C15">
        <w:rPr>
          <w:rFonts w:ascii="宋体" w:hAnsi="宋体" w:hint="eastAsia"/>
          <w:sz w:val="24"/>
        </w:rPr>
        <w:lastRenderedPageBreak/>
        <w:t>财联社中国金融业“拓扑奖”评选中，荣获银行业务类奖项“2024年资产托管银行‘拓扑奖’”；2024年12月，荣获《中国证券报》“ETF金牛生态圈卓越托管机构（银行）奖”；2024年12月，荣获《2024东方财富风云际会》“年度托管银行风云奖”。2025年1月，荣获中央国债登记结算有限责任公司“2024年度优秀资产托管机构”奖项、上海清算所“2024年度优秀托管机构”奖项；2025年2月，荣获全国银行间同业拆借中心“2024年度市场创新业务机构”奖项；2025年3月，荣获《中国基金报》2025年指数生态圈英华典型案例“指数产品托管机构”奖项；2025年6月，荣获《亚洲银行家》“中国最佳托管银行”“中国最佳股份制托管银行”奖项。2025年8月，在《21世纪经济报道》主办的2025资产管理年会暨十八届21世纪【金贝】资产管理竞争力案例发布盛典上，“招商银行托管+”荣获“2025卓越影响力品牌”奖项。2025年12月，荣获《2025东方财富风云际会》“年度托管银行风云奖”。2026年1月，荣获中央国债登记结算有限责任公司“2025年度优秀资产托管机构”奖项。</w:t>
      </w:r>
    </w:p>
    <w:p w14:paraId="66D553D8" w14:textId="77777777" w:rsidR="008A6127" w:rsidRDefault="00437D9F">
      <w:pPr>
        <w:snapToGrid w:val="0"/>
        <w:spacing w:line="360" w:lineRule="auto"/>
        <w:ind w:firstLineChars="200" w:firstLine="482"/>
        <w:rPr>
          <w:rFonts w:ascii="宋体" w:hAnsi="宋体"/>
          <w:b/>
          <w:sz w:val="24"/>
        </w:rPr>
      </w:pPr>
      <w:r>
        <w:rPr>
          <w:rFonts w:ascii="宋体" w:hAnsi="宋体" w:hint="eastAsia"/>
          <w:b/>
          <w:sz w:val="24"/>
        </w:rPr>
        <w:t>（二）主要人员情况</w:t>
      </w:r>
    </w:p>
    <w:p w14:paraId="32951F24"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缪建民先生，招商银行董事长、非执行董事，2020年9月起担任招商银行董事、董事长。中央财经大学经济学博士，高级经济师。中国共产党第十九届、二十届中央委员会候补委员。招商局集团有限公司董事长。曾任中国人寿保险（集团）公司副董事长、总裁，中国人民保险集团股份有限公司副董事长、总裁、董事长，曾兼任中国人民财产保险股份有限公司董事长，中国人</w:t>
      </w:r>
      <w:proofErr w:type="gramStart"/>
      <w:r w:rsidRPr="006C7C15">
        <w:rPr>
          <w:rFonts w:ascii="宋体" w:hAnsi="宋体" w:hint="eastAsia"/>
          <w:sz w:val="24"/>
        </w:rPr>
        <w:t>保资产</w:t>
      </w:r>
      <w:proofErr w:type="gramEnd"/>
      <w:r w:rsidRPr="006C7C15">
        <w:rPr>
          <w:rFonts w:ascii="宋体" w:hAnsi="宋体" w:hint="eastAsia"/>
          <w:sz w:val="24"/>
        </w:rPr>
        <w:t>管理有限公司董事长，中国人民健康保险股份有限公司董事长，中国人民保险（香港）有限公司董事长，人保资本投资管理有限公司董事长，中国人民养老保险有限责任公司董事长，中国人民人寿保险股份有限公司董事长。</w:t>
      </w:r>
    </w:p>
    <w:p w14:paraId="1DD887FD"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王小青先生，招商银行党委书记，复旦大学政治经济学博士。曾任中国人</w:t>
      </w:r>
      <w:proofErr w:type="gramStart"/>
      <w:r w:rsidRPr="006C7C15">
        <w:rPr>
          <w:rFonts w:ascii="宋体" w:hAnsi="宋体" w:hint="eastAsia"/>
          <w:sz w:val="24"/>
        </w:rPr>
        <w:t>保资产</w:t>
      </w:r>
      <w:proofErr w:type="gramEnd"/>
      <w:r w:rsidRPr="006C7C15">
        <w:rPr>
          <w:rFonts w:ascii="宋体" w:hAnsi="宋体" w:hint="eastAsia"/>
          <w:sz w:val="24"/>
        </w:rPr>
        <w:t>管理有限公司总裁助理、副总裁兼财务负责人，招商基金管理有限公司总经理、董事长，招商银行行长助理兼深圳分行行长、招商银行副行长，招商局金融控股有限公司总经理。曾兼任</w:t>
      </w:r>
      <w:proofErr w:type="gramStart"/>
      <w:r w:rsidRPr="006C7C15">
        <w:rPr>
          <w:rFonts w:ascii="宋体" w:hAnsi="宋体" w:hint="eastAsia"/>
          <w:sz w:val="24"/>
        </w:rPr>
        <w:t>招商信</w:t>
      </w:r>
      <w:proofErr w:type="gramEnd"/>
      <w:r w:rsidRPr="006C7C15">
        <w:rPr>
          <w:rFonts w:ascii="宋体" w:hAnsi="宋体" w:hint="eastAsia"/>
          <w:sz w:val="24"/>
        </w:rPr>
        <w:t>诺人寿保险有限公司董事长、</w:t>
      </w:r>
      <w:proofErr w:type="gramStart"/>
      <w:r w:rsidRPr="006C7C15">
        <w:rPr>
          <w:rFonts w:ascii="宋体" w:hAnsi="宋体" w:hint="eastAsia"/>
          <w:sz w:val="24"/>
        </w:rPr>
        <w:t>招商信诺资</w:t>
      </w:r>
      <w:proofErr w:type="gramEnd"/>
      <w:r w:rsidRPr="006C7C15">
        <w:rPr>
          <w:rFonts w:ascii="宋体" w:hAnsi="宋体" w:hint="eastAsia"/>
          <w:sz w:val="24"/>
        </w:rPr>
        <w:t>产管理有限公司董事长。</w:t>
      </w:r>
    </w:p>
    <w:p w14:paraId="16E5BB92"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王颖女士，招商银行副行长，南京大学政治经济学专业硕士，经济师。王颖女士1997年1月加入招商银行，历任招商银行北京分行行长助理、副行长，天津分行行长，深圳分行行长，招商银行行长助理。2023年11月起任招商银行副</w:t>
      </w:r>
      <w:r w:rsidRPr="006C7C15">
        <w:rPr>
          <w:rFonts w:ascii="宋体" w:hAnsi="宋体" w:hint="eastAsia"/>
          <w:sz w:val="24"/>
        </w:rPr>
        <w:lastRenderedPageBreak/>
        <w:t>行长。</w:t>
      </w:r>
    </w:p>
    <w:p w14:paraId="11932082" w14:textId="594C2EF3" w:rsidR="008A6127" w:rsidRDefault="006C7C15">
      <w:pPr>
        <w:snapToGrid w:val="0"/>
        <w:spacing w:line="360" w:lineRule="auto"/>
        <w:ind w:firstLineChars="200" w:firstLine="480"/>
        <w:rPr>
          <w:rFonts w:ascii="宋体" w:hAnsi="宋体"/>
          <w:sz w:val="24"/>
        </w:rPr>
      </w:pPr>
      <w:r w:rsidRPr="006C7C15">
        <w:rPr>
          <w:rFonts w:ascii="宋体" w:hAnsi="宋体" w:hint="eastAsia"/>
          <w:sz w:val="24"/>
        </w:rPr>
        <w:t>孙乐女士，招商银行资产托管部总经理，硕士研究生毕业，2001年8月加入招商银行至今，历任招商银行合肥分行风险控制部副经理、经理、信贷管理部总经理助理、副总经理、总经理、公司银行部总经理、中小企业金融部总经理、投行与金融市场部总经理；无锡分行行长助理、副行长；南京分行副行长；2021年10月起先后任招商银行资产托管部负责人、资产托管部总经理，具有20余年银行从业经验，在风险管理、信贷管理、公司金融、资产托管等领域有深入的研究和丰富的实务经验。</w:t>
      </w:r>
    </w:p>
    <w:p w14:paraId="5452E2A2" w14:textId="77777777" w:rsidR="008A6127" w:rsidRDefault="00437D9F">
      <w:pPr>
        <w:snapToGrid w:val="0"/>
        <w:spacing w:line="360" w:lineRule="auto"/>
        <w:ind w:firstLineChars="200" w:firstLine="482"/>
        <w:rPr>
          <w:rFonts w:ascii="宋体" w:hAnsi="宋体"/>
          <w:b/>
          <w:sz w:val="24"/>
        </w:rPr>
      </w:pPr>
      <w:r>
        <w:rPr>
          <w:rFonts w:ascii="宋体" w:hAnsi="宋体" w:hint="eastAsia"/>
          <w:b/>
          <w:sz w:val="24"/>
        </w:rPr>
        <w:t>（三）基金托管业务经营情况</w:t>
      </w:r>
    </w:p>
    <w:p w14:paraId="7EE9C31D" w14:textId="24329C24" w:rsidR="008A6127" w:rsidRDefault="006C7C15">
      <w:pPr>
        <w:snapToGrid w:val="0"/>
        <w:spacing w:line="360" w:lineRule="auto"/>
        <w:ind w:firstLineChars="200" w:firstLine="480"/>
        <w:rPr>
          <w:rFonts w:ascii="宋体" w:hAnsi="宋体"/>
          <w:sz w:val="24"/>
        </w:rPr>
      </w:pPr>
      <w:r w:rsidRPr="006C7C15">
        <w:rPr>
          <w:rFonts w:ascii="宋体" w:hAnsi="宋体" w:hint="eastAsia"/>
          <w:sz w:val="24"/>
        </w:rPr>
        <w:t>截至2026年3月31日，招商银行股份有限公司累计托管1813只证券投资基金。</w:t>
      </w:r>
      <w:r w:rsidR="00437D9F">
        <w:rPr>
          <w:rFonts w:ascii="宋体" w:hAnsi="宋体"/>
          <w:sz w:val="24"/>
        </w:rPr>
        <w:t xml:space="preserve">  </w:t>
      </w:r>
    </w:p>
    <w:p w14:paraId="68EF3B0D" w14:textId="77777777" w:rsidR="008A6127" w:rsidRDefault="00437D9F">
      <w:pPr>
        <w:snapToGrid w:val="0"/>
        <w:spacing w:line="360" w:lineRule="auto"/>
        <w:ind w:firstLineChars="200" w:firstLine="482"/>
        <w:rPr>
          <w:rFonts w:ascii="宋体" w:hAnsi="宋体"/>
          <w:b/>
          <w:sz w:val="24"/>
        </w:rPr>
      </w:pPr>
      <w:r>
        <w:rPr>
          <w:rFonts w:ascii="宋体" w:hAnsi="宋体"/>
          <w:b/>
          <w:sz w:val="24"/>
        </w:rPr>
        <w:t xml:space="preserve">(四) </w:t>
      </w:r>
      <w:r>
        <w:rPr>
          <w:rFonts w:ascii="宋体" w:hAnsi="宋体" w:hint="eastAsia"/>
          <w:b/>
          <w:sz w:val="24"/>
        </w:rPr>
        <w:t>托管人的内部控制制度</w:t>
      </w:r>
    </w:p>
    <w:p w14:paraId="56B1A20A"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1、</w:t>
      </w:r>
      <w:r w:rsidRPr="006C7C15">
        <w:rPr>
          <w:rFonts w:ascii="宋体" w:hAnsi="宋体" w:hint="eastAsia"/>
          <w:sz w:val="24"/>
        </w:rPr>
        <w:tab/>
        <w:t>内部控制目标</w:t>
      </w:r>
    </w:p>
    <w:p w14:paraId="77A22E60"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招商银行确保托管业务严格遵守国家有关法律法规和行业监管制度，坚持守法经营、规范运作的经营理念；形成科学合理的决策机制、执行机制和监督机制，防范和化解经营风险，确保托管业务的稳健运行和托管资产的安全；建立有利于查错防弊、堵塞漏洞、消除隐患，保证业务稳健运行的风险控制制度，确保托管业务信息真实、准确、完整、及时；确保内控机制、体制的不断改进和各项业务制度、流程的不断完善。</w:t>
      </w:r>
    </w:p>
    <w:p w14:paraId="23DA036D"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2、</w:t>
      </w:r>
      <w:r w:rsidRPr="006C7C15">
        <w:rPr>
          <w:rFonts w:ascii="宋体" w:hAnsi="宋体" w:hint="eastAsia"/>
          <w:sz w:val="24"/>
        </w:rPr>
        <w:tab/>
        <w:t>内部控制组织结构</w:t>
      </w:r>
    </w:p>
    <w:p w14:paraId="7DC22B76"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招商银行资产托管业务建立三级内部控制及风险防范体系：</w:t>
      </w:r>
    </w:p>
    <w:p w14:paraId="1D0A36EB"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一级内部控制及风险防范是在招商银行总行风险管控层面对风险进行预防和控制；总行风险管理部、法律合</w:t>
      </w:r>
      <w:proofErr w:type="gramStart"/>
      <w:r w:rsidRPr="006C7C15">
        <w:rPr>
          <w:rFonts w:ascii="宋体" w:hAnsi="宋体" w:hint="eastAsia"/>
          <w:sz w:val="24"/>
        </w:rPr>
        <w:t>规</w:t>
      </w:r>
      <w:proofErr w:type="gramEnd"/>
      <w:r w:rsidRPr="006C7C15">
        <w:rPr>
          <w:rFonts w:ascii="宋体" w:hAnsi="宋体" w:hint="eastAsia"/>
          <w:sz w:val="24"/>
        </w:rPr>
        <w:t>部、审计部独立对资产托管业务进行评估监督，并提出内控提升管理建议。</w:t>
      </w:r>
    </w:p>
    <w:p w14:paraId="2BE9A253"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二级内部控制及风险防范是招商银行资产托管部设立风险合</w:t>
      </w:r>
      <w:proofErr w:type="gramStart"/>
      <w:r w:rsidRPr="006C7C15">
        <w:rPr>
          <w:rFonts w:ascii="宋体" w:hAnsi="宋体" w:hint="eastAsia"/>
          <w:sz w:val="24"/>
        </w:rPr>
        <w:t>规</w:t>
      </w:r>
      <w:proofErr w:type="gramEnd"/>
      <w:r w:rsidRPr="006C7C15">
        <w:rPr>
          <w:rFonts w:ascii="宋体" w:hAnsi="宋体" w:hint="eastAsia"/>
          <w:sz w:val="24"/>
        </w:rPr>
        <w:t>管理相关团队，负责部门内部风险预防和控制，及时发现内部控制缺陷，提出整改方案，跟踪整改情况，并直接向部门总经理室报告。</w:t>
      </w:r>
    </w:p>
    <w:p w14:paraId="3D051289"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三级内部控制及风险防范是招商银行资产托管部在设置专业岗位时，遵循内控制衡原则，</w:t>
      </w:r>
      <w:proofErr w:type="gramStart"/>
      <w:r w:rsidRPr="006C7C15">
        <w:rPr>
          <w:rFonts w:ascii="宋体" w:hAnsi="宋体" w:hint="eastAsia"/>
          <w:sz w:val="24"/>
        </w:rPr>
        <w:t>视业务</w:t>
      </w:r>
      <w:proofErr w:type="gramEnd"/>
      <w:r w:rsidRPr="006C7C15">
        <w:rPr>
          <w:rFonts w:ascii="宋体" w:hAnsi="宋体" w:hint="eastAsia"/>
          <w:sz w:val="24"/>
        </w:rPr>
        <w:t>的风险程度制定相应监督制衡机制。</w:t>
      </w:r>
    </w:p>
    <w:p w14:paraId="06A4D715"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3、</w:t>
      </w:r>
      <w:r w:rsidRPr="006C7C15">
        <w:rPr>
          <w:rFonts w:ascii="宋体" w:hAnsi="宋体" w:hint="eastAsia"/>
          <w:sz w:val="24"/>
        </w:rPr>
        <w:tab/>
        <w:t>内部控制原则</w:t>
      </w:r>
    </w:p>
    <w:p w14:paraId="7CDBF4C7"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lastRenderedPageBreak/>
        <w:t>（1）全面性原则。内部控制覆盖各项业务过程和操作环节、覆盖所有团队和岗位，并由全部人员参与。</w:t>
      </w:r>
    </w:p>
    <w:p w14:paraId="1D4A6052"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（2）审慎性原则。托管组织体系的构成、内部管理制度的建立均以防范风险、审慎经营为出发点，体现“内控优先”的要求。</w:t>
      </w:r>
    </w:p>
    <w:p w14:paraId="495DDE2A"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（3）独立性原则。招商银行资产托管部各团队、各岗位职责保持相对独立，不同托管资产之间、托管资产和自有资产之间相互分离。内部控制的检查、评价部门独立于内部控制的建立和执行部门。</w:t>
      </w:r>
    </w:p>
    <w:p w14:paraId="3120C9D3"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4）有效性原则。内部控制有效性包含内部控制设计的有效性、内部控制执行的有效性。内部控制设计的有效性是指内部控制的设计覆盖了所有应关注的重要风险，且设计的风险应对措施适当。内部控制执行的有效性是指内部控制能够按照设计要求严格有效执行。</w:t>
      </w:r>
    </w:p>
    <w:p w14:paraId="51EB71F4"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（5）适应性原则。内部控制适应招商银行托管业务风险管理的需要，并能够随着托管业务经营战略、经营方针、经营理念等内部环境的变化和国家法律、法规、政策制度等外部环境的改变及时进行修订和完善。</w:t>
      </w:r>
    </w:p>
    <w:p w14:paraId="507F705C"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（6）防火墙原则。招商银行资产托管部办公场地与我</w:t>
      </w:r>
      <w:proofErr w:type="gramStart"/>
      <w:r w:rsidRPr="006C7C15">
        <w:rPr>
          <w:rFonts w:ascii="宋体" w:hAnsi="宋体" w:hint="eastAsia"/>
          <w:sz w:val="24"/>
        </w:rPr>
        <w:t>行其他</w:t>
      </w:r>
      <w:proofErr w:type="gramEnd"/>
      <w:r w:rsidRPr="006C7C15">
        <w:rPr>
          <w:rFonts w:ascii="宋体" w:hAnsi="宋体" w:hint="eastAsia"/>
          <w:sz w:val="24"/>
        </w:rPr>
        <w:t xml:space="preserve">业务场地隔离，办公网和业务网物理分离，部门业务网和全行业务网防火墙策略分离，以达到风险防范的目的。 </w:t>
      </w:r>
    </w:p>
    <w:p w14:paraId="440667A4"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（7）重要性原则。内部控制在实现全面控制的基础上，关注重要托管业务重要事项和高风险环节。</w:t>
      </w:r>
    </w:p>
    <w:p w14:paraId="44C2DFD6"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（8）制衡性原则。内部控制能够实现在托管组织体系、机构设置、权责分配及业务流程等方面相互制约、相互监督，同时兼顾运营效率。</w:t>
      </w:r>
    </w:p>
    <w:p w14:paraId="0311E5BE"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4、</w:t>
      </w:r>
      <w:r w:rsidRPr="006C7C15">
        <w:rPr>
          <w:rFonts w:ascii="宋体" w:hAnsi="宋体" w:hint="eastAsia"/>
          <w:sz w:val="24"/>
        </w:rPr>
        <w:tab/>
        <w:t>内部控制措施</w:t>
      </w:r>
    </w:p>
    <w:p w14:paraId="60A76B0F"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1）完善的制度建设。招商银行资产托管部从资产托管业务内控管理、产品受理、会计核算、资金清算、岗位管理、档案管理和信息管理等方面制定一系列规章制度，建立了三层制度体系，即：基本规定、业务管理办法和业务操作规程。制度结构层次清晰、管理要求明确，满足风险管理全覆盖的要求，保证资产托管业务科学化、制度化、规范化运作。</w:t>
      </w:r>
    </w:p>
    <w:p w14:paraId="11C311C5"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（2）业务信息风险控制。招商银行资产托管部在数据传输和保存方面有严格的加密和备份措施，采用加密、直</w:t>
      </w:r>
      <w:proofErr w:type="gramStart"/>
      <w:r w:rsidRPr="006C7C15">
        <w:rPr>
          <w:rFonts w:ascii="宋体" w:hAnsi="宋体" w:hint="eastAsia"/>
          <w:sz w:val="24"/>
        </w:rPr>
        <w:t>连方式</w:t>
      </w:r>
      <w:proofErr w:type="gramEnd"/>
      <w:r w:rsidRPr="006C7C15">
        <w:rPr>
          <w:rFonts w:ascii="宋体" w:hAnsi="宋体" w:hint="eastAsia"/>
          <w:sz w:val="24"/>
        </w:rPr>
        <w:t>传输数据，数据执行异地实时备份，所有的业务信息须经过严格的授权方能进行访问。</w:t>
      </w:r>
    </w:p>
    <w:p w14:paraId="038D6B97"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lastRenderedPageBreak/>
        <w:t>（3）客户资料风险控制。招商银行资产托管部对业务办理过程中获取的客户资料严格保密，除法律法规和其他有关规定、监管机构及审计要求外，不向任何机构、部门或个人泄露。</w:t>
      </w:r>
    </w:p>
    <w:p w14:paraId="63653C19"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（4）信息技术系统风险控制。招商银行对信息技术系统机房、权限管理实行双人</w:t>
      </w:r>
      <w:proofErr w:type="gramStart"/>
      <w:r w:rsidRPr="006C7C15">
        <w:rPr>
          <w:rFonts w:ascii="宋体" w:hAnsi="宋体" w:hint="eastAsia"/>
          <w:sz w:val="24"/>
        </w:rPr>
        <w:t>双岗双责</w:t>
      </w:r>
      <w:proofErr w:type="gramEnd"/>
      <w:r w:rsidRPr="006C7C15">
        <w:rPr>
          <w:rFonts w:ascii="宋体" w:hAnsi="宋体" w:hint="eastAsia"/>
          <w:sz w:val="24"/>
        </w:rPr>
        <w:t>，电脑机房24小时值班并设置门禁，所有电脑设置密码及相应权限。业务网和办公网、托管业务网与全行业</w:t>
      </w:r>
      <w:proofErr w:type="gramStart"/>
      <w:r w:rsidRPr="006C7C15">
        <w:rPr>
          <w:rFonts w:ascii="宋体" w:hAnsi="宋体" w:hint="eastAsia"/>
          <w:sz w:val="24"/>
        </w:rPr>
        <w:t>务网双</w:t>
      </w:r>
      <w:proofErr w:type="gramEnd"/>
      <w:r w:rsidRPr="006C7C15">
        <w:rPr>
          <w:rFonts w:ascii="宋体" w:hAnsi="宋体" w:hint="eastAsia"/>
          <w:sz w:val="24"/>
        </w:rPr>
        <w:t>分离制度，与外部业务机构实行防火墙保护，对信息技术系统采取两地</w:t>
      </w:r>
      <w:proofErr w:type="gramStart"/>
      <w:r w:rsidRPr="006C7C15">
        <w:rPr>
          <w:rFonts w:ascii="宋体" w:hAnsi="宋体" w:hint="eastAsia"/>
          <w:sz w:val="24"/>
        </w:rPr>
        <w:t>三中</w:t>
      </w:r>
      <w:proofErr w:type="gramEnd"/>
      <w:r w:rsidRPr="006C7C15">
        <w:rPr>
          <w:rFonts w:ascii="宋体" w:hAnsi="宋体" w:hint="eastAsia"/>
          <w:sz w:val="24"/>
        </w:rPr>
        <w:t>心的应急备份管理措施等，保证信息技术系统的安全。</w:t>
      </w:r>
    </w:p>
    <w:p w14:paraId="706ED7CE" w14:textId="1CEE4E01" w:rsidR="003D4303" w:rsidRDefault="006C7C15">
      <w:pPr>
        <w:snapToGrid w:val="0"/>
        <w:spacing w:line="360" w:lineRule="auto"/>
        <w:ind w:firstLineChars="200" w:firstLine="480"/>
        <w:rPr>
          <w:rFonts w:ascii="宋体" w:hAnsi="宋体"/>
          <w:sz w:val="24"/>
        </w:rPr>
      </w:pPr>
      <w:r w:rsidRPr="006C7C15">
        <w:rPr>
          <w:rFonts w:ascii="宋体" w:hAnsi="宋体" w:hint="eastAsia"/>
          <w:sz w:val="24"/>
        </w:rPr>
        <w:t>（5）人力资源控制。招商银行资产托管部通过建立良好的企业文化和员工培训、激励机制、加强人力资源管理及建立人才梯级队伍及人才储备机制，有效地进行人力资源管理。</w:t>
      </w:r>
    </w:p>
    <w:p w14:paraId="2D498FBB" w14:textId="77777777" w:rsidR="008A6127" w:rsidRDefault="00437D9F">
      <w:pPr>
        <w:snapToGrid w:val="0"/>
        <w:spacing w:line="360" w:lineRule="auto"/>
        <w:ind w:firstLineChars="200" w:firstLine="482"/>
        <w:rPr>
          <w:rFonts w:ascii="宋体" w:hAnsi="宋体"/>
          <w:b/>
          <w:sz w:val="24"/>
        </w:rPr>
      </w:pPr>
      <w:r>
        <w:rPr>
          <w:rFonts w:ascii="宋体" w:hAnsi="宋体" w:hint="eastAsia"/>
          <w:b/>
          <w:sz w:val="24"/>
        </w:rPr>
        <w:t>（五）基金托管人对基金管理人运作基金进行监督的方法和程序</w:t>
      </w:r>
    </w:p>
    <w:p w14:paraId="6245D5B7"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根据《中华人民共和国证券投资基金法》《公开募集证券投资基金运作管理办法》等有关法律法规的规定及基金合同、托管协议的约定，对基金投资范围、投资比例、投资组合等情况的合法性、合</w:t>
      </w:r>
      <w:proofErr w:type="gramStart"/>
      <w:r w:rsidRPr="006C7C15">
        <w:rPr>
          <w:rFonts w:ascii="宋体" w:hAnsi="宋体" w:hint="eastAsia"/>
          <w:sz w:val="24"/>
        </w:rPr>
        <w:t>规</w:t>
      </w:r>
      <w:proofErr w:type="gramEnd"/>
      <w:r w:rsidRPr="006C7C15">
        <w:rPr>
          <w:rFonts w:ascii="宋体" w:hAnsi="宋体" w:hint="eastAsia"/>
          <w:sz w:val="24"/>
        </w:rPr>
        <w:t>性进行监督和核查。</w:t>
      </w:r>
    </w:p>
    <w:p w14:paraId="2C24C2F9" w14:textId="77777777" w:rsidR="006C7C15" w:rsidRPr="006C7C15" w:rsidRDefault="006C7C15" w:rsidP="006C7C15">
      <w:pPr>
        <w:snapToGrid w:val="0"/>
        <w:spacing w:line="360" w:lineRule="auto"/>
        <w:ind w:firstLineChars="200" w:firstLine="480"/>
        <w:rPr>
          <w:rFonts w:ascii="宋体" w:hAnsi="宋体"/>
          <w:sz w:val="24"/>
        </w:rPr>
      </w:pPr>
      <w:r w:rsidRPr="006C7C15">
        <w:rPr>
          <w:rFonts w:ascii="宋体" w:hAnsi="宋体" w:hint="eastAsia"/>
          <w:sz w:val="24"/>
        </w:rPr>
        <w:t>在为基金投资运作所提供的基金清算和核算服务环节中，基金托管人对基金管理人发送的投资指令、基金管理人对各基金费用的提取与支付情况进行检查监督，对违反法律法规、基金合同的指令拒绝执行，并立即通知基金管理人。</w:t>
      </w:r>
    </w:p>
    <w:p w14:paraId="45EB295F" w14:textId="69E82EFA" w:rsidR="008A6127" w:rsidRDefault="006C7C15">
      <w:pPr>
        <w:snapToGrid w:val="0"/>
        <w:spacing w:line="360" w:lineRule="auto"/>
        <w:ind w:firstLineChars="200" w:firstLine="480"/>
        <w:jc w:val="left"/>
        <w:rPr>
          <w:rFonts w:ascii="宋体" w:hAnsi="宋体"/>
          <w:sz w:val="24"/>
        </w:rPr>
        <w:sectPr w:rsidR="008A6127">
          <w:pgSz w:w="11906" w:h="16838"/>
          <w:pgMar w:top="1440" w:right="1800" w:bottom="1440" w:left="1800" w:header="851" w:footer="992" w:gutter="0"/>
          <w:cols w:space="720"/>
          <w:docGrid w:type="lines" w:linePitch="312"/>
        </w:sectPr>
      </w:pPr>
      <w:r w:rsidRPr="006C7C15">
        <w:rPr>
          <w:rFonts w:ascii="宋体" w:hAnsi="宋体" w:hint="eastAsia"/>
          <w:sz w:val="24"/>
        </w:rPr>
        <w:t>基金托管人如发现基金管理人依据交易程序已经生效的投资指令违反法律、行政法规和其他有关规定，或者违反基金合同约定，及时以书面形式通知基金管理人进行整改，整改的时限应符合法律法规及基金合同允许的调整期限。基金管理人收到通知后应及时核对确认并以书面形式向基金托管人发出回函并改正。基金管理人对基金托管人通知的违规事项未能在限期内纠正的，基金托管人应报告中国证监会。</w:t>
      </w:r>
    </w:p>
    <w:p w14:paraId="699EED90"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102" w:name="_Toc421532543"/>
      <w:bookmarkStart w:id="103" w:name="_Toc362455182"/>
      <w:bookmarkStart w:id="104" w:name="_Toc360794099"/>
      <w:bookmarkStart w:id="105" w:name="_Toc360793497"/>
      <w:bookmarkStart w:id="106" w:name="_Toc362533454"/>
      <w:bookmarkStart w:id="107" w:name="_Toc405455122"/>
      <w:bookmarkStart w:id="108" w:name="_Toc360794515"/>
      <w:bookmarkStart w:id="109" w:name="_Toc360793849"/>
      <w:bookmarkStart w:id="110" w:name="_Toc18826"/>
      <w:bookmarkStart w:id="111" w:name="_Toc12304"/>
      <w:bookmarkStart w:id="112" w:name="_Toc29085"/>
      <w:bookmarkStart w:id="113" w:name="_Toc360794407"/>
      <w:bookmarkStart w:id="114" w:name="_Toc29538"/>
      <w:bookmarkStart w:id="115" w:name="_Toc15028"/>
      <w:bookmarkStart w:id="116" w:name="_Toc204678784"/>
      <w:r>
        <w:rPr>
          <w:rFonts w:ascii="Cambria" w:hAnsi="Cambria" w:hint="eastAsia"/>
          <w:sz w:val="32"/>
          <w:szCs w:val="32"/>
        </w:rPr>
        <w:lastRenderedPageBreak/>
        <w:t>相关服务机构</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110C952B" w14:textId="77777777" w:rsidR="008A6127" w:rsidRDefault="00437D9F">
      <w:pPr>
        <w:autoSpaceDE w:val="0"/>
        <w:autoSpaceDN w:val="0"/>
        <w:adjustRightInd w:val="0"/>
        <w:snapToGrid w:val="0"/>
        <w:spacing w:line="360" w:lineRule="auto"/>
        <w:ind w:firstLineChars="200" w:firstLine="482"/>
        <w:rPr>
          <w:rFonts w:ascii="宋体" w:hAnsi="宋体"/>
          <w:b/>
          <w:bCs/>
          <w:kern w:val="0"/>
          <w:sz w:val="24"/>
        </w:rPr>
      </w:pPr>
      <w:r>
        <w:rPr>
          <w:rFonts w:ascii="宋体" w:hAnsi="宋体" w:hint="eastAsia"/>
          <w:b/>
          <w:bCs/>
          <w:kern w:val="0"/>
          <w:sz w:val="24"/>
        </w:rPr>
        <w:t>（一）销售机构</w:t>
      </w:r>
    </w:p>
    <w:p w14:paraId="2AC33CA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1、直销机构</w:t>
      </w:r>
    </w:p>
    <w:p w14:paraId="1EFACF0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本基金直销机构为本公司直销柜台以及本公司的网上直销交易平台。</w:t>
      </w:r>
    </w:p>
    <w:p w14:paraId="16E5ED4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名称：朱雀基金管理有限公司</w:t>
      </w:r>
    </w:p>
    <w:p w14:paraId="0DCCA88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住所：西安经济技术开发区草滩生态产业园尚</w:t>
      </w:r>
      <w:proofErr w:type="gramStart"/>
      <w:r>
        <w:rPr>
          <w:rFonts w:ascii="宋体" w:hAnsi="宋体" w:hint="eastAsia"/>
          <w:sz w:val="24"/>
        </w:rPr>
        <w:t>稷</w:t>
      </w:r>
      <w:proofErr w:type="gramEnd"/>
      <w:r>
        <w:rPr>
          <w:rFonts w:ascii="宋体" w:hAnsi="宋体" w:hint="eastAsia"/>
          <w:sz w:val="24"/>
        </w:rPr>
        <w:t>路</w:t>
      </w:r>
      <w:r>
        <w:rPr>
          <w:rFonts w:ascii="宋体" w:hAnsi="宋体"/>
          <w:sz w:val="24"/>
        </w:rPr>
        <w:t>8号一栋二楼</w:t>
      </w:r>
    </w:p>
    <w:p w14:paraId="7F6A979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办公地址：上海市浦东新区海阳西路555号前</w:t>
      </w:r>
      <w:proofErr w:type="gramStart"/>
      <w:r>
        <w:rPr>
          <w:rFonts w:ascii="宋体" w:hAnsi="宋体" w:hint="eastAsia"/>
          <w:sz w:val="24"/>
        </w:rPr>
        <w:t>滩中心</w:t>
      </w:r>
      <w:proofErr w:type="gramEnd"/>
      <w:r>
        <w:rPr>
          <w:rFonts w:ascii="宋体" w:hAnsi="宋体" w:hint="eastAsia"/>
          <w:sz w:val="24"/>
        </w:rPr>
        <w:t>58层</w:t>
      </w:r>
    </w:p>
    <w:p w14:paraId="374747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法定代表人：梁跃军</w:t>
      </w:r>
    </w:p>
    <w:p w14:paraId="449F9D3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成立时间：2018年10月25日</w:t>
      </w:r>
    </w:p>
    <w:p w14:paraId="3A5F882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电话：</w:t>
      </w:r>
      <w:r>
        <w:rPr>
          <w:rFonts w:ascii="宋体" w:hAnsi="宋体"/>
          <w:sz w:val="24"/>
        </w:rPr>
        <w:t>021-20305888</w:t>
      </w:r>
    </w:p>
    <w:p w14:paraId="7DF6D79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传真：</w:t>
      </w:r>
      <w:r>
        <w:rPr>
          <w:rFonts w:ascii="宋体" w:hAnsi="宋体"/>
          <w:sz w:val="24"/>
        </w:rPr>
        <w:t>021-20305999</w:t>
      </w:r>
    </w:p>
    <w:p w14:paraId="01BAC2F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联系人：夏燕</w:t>
      </w:r>
    </w:p>
    <w:p w14:paraId="74D6F75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bookmarkStart w:id="117" w:name="_Hlk18327210"/>
      <w:r>
        <w:rPr>
          <w:rFonts w:ascii="宋体" w:hAnsi="宋体"/>
          <w:sz w:val="24"/>
        </w:rPr>
        <w:t>400</w:t>
      </w:r>
      <w:r>
        <w:rPr>
          <w:rFonts w:ascii="宋体" w:hAnsi="宋体" w:hint="eastAsia"/>
          <w:sz w:val="24"/>
        </w:rPr>
        <w:t>-</w:t>
      </w:r>
      <w:r>
        <w:rPr>
          <w:rFonts w:ascii="宋体" w:hAnsi="宋体"/>
          <w:sz w:val="24"/>
        </w:rPr>
        <w:t>921</w:t>
      </w:r>
      <w:r>
        <w:rPr>
          <w:rFonts w:ascii="宋体" w:hAnsi="宋体" w:hint="eastAsia"/>
          <w:sz w:val="24"/>
        </w:rPr>
        <w:t>-</w:t>
      </w:r>
      <w:r>
        <w:rPr>
          <w:rFonts w:ascii="宋体" w:hAnsi="宋体"/>
          <w:sz w:val="24"/>
        </w:rPr>
        <w:t>7211（全国免长途话费）</w:t>
      </w:r>
      <w:bookmarkEnd w:id="117"/>
    </w:p>
    <w:p w14:paraId="75DAB9F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t>
      </w:r>
      <w:bookmarkStart w:id="118" w:name="_Hlk18327228"/>
      <w:r>
        <w:rPr>
          <w:rFonts w:ascii="宋体" w:hAnsi="宋体"/>
          <w:sz w:val="24"/>
        </w:rPr>
        <w:t>www.rosefinchfund.com</w:t>
      </w:r>
      <w:bookmarkEnd w:id="118"/>
    </w:p>
    <w:p w14:paraId="631E0E7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个人投资者可以通过本公司网上直销交易平台办理开户、本基金的申购、赎回</w:t>
      </w:r>
      <w:proofErr w:type="gramStart"/>
      <w:r>
        <w:rPr>
          <w:rFonts w:ascii="宋体" w:hAnsi="宋体" w:hint="eastAsia"/>
          <w:sz w:val="24"/>
        </w:rPr>
        <w:t>和定投业务</w:t>
      </w:r>
      <w:proofErr w:type="gramEnd"/>
      <w:r>
        <w:rPr>
          <w:rFonts w:ascii="宋体" w:hAnsi="宋体" w:hint="eastAsia"/>
          <w:sz w:val="24"/>
        </w:rPr>
        <w:t>，具体交易细则请请参阅本公司网站。网上直销交易平台网址：</w:t>
      </w:r>
      <w:r>
        <w:rPr>
          <w:rFonts w:ascii="宋体" w:hAnsi="宋体"/>
          <w:sz w:val="24"/>
        </w:rPr>
        <w:t xml:space="preserve"> </w:t>
      </w:r>
      <w:hyperlink r:id="rId17" w:history="1">
        <w:r>
          <w:rPr>
            <w:rFonts w:ascii="宋体" w:hAnsi="宋体"/>
            <w:sz w:val="24"/>
          </w:rPr>
          <w:t>https://trade.rosefinchfund.com</w:t>
        </w:r>
      </w:hyperlink>
      <w:r>
        <w:rPr>
          <w:rFonts w:ascii="宋体" w:hAnsi="宋体"/>
          <w:sz w:val="24"/>
        </w:rPr>
        <w:t>/etrading</w:t>
      </w:r>
    </w:p>
    <w:p w14:paraId="131E49FF"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、代销机构</w:t>
      </w:r>
    </w:p>
    <w:p w14:paraId="61125C0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1</w:t>
      </w:r>
      <w:r>
        <w:rPr>
          <w:rFonts w:ascii="宋体" w:hAnsi="宋体" w:hint="eastAsia"/>
          <w:sz w:val="24"/>
        </w:rPr>
        <w:t>）招商银行股份有限公司</w:t>
      </w:r>
    </w:p>
    <w:p w14:paraId="1861ECA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地址：深圳市福田区深南大道</w:t>
      </w:r>
      <w:r>
        <w:rPr>
          <w:rFonts w:ascii="宋体" w:hAnsi="宋体"/>
          <w:sz w:val="24"/>
        </w:rPr>
        <w:t>7088号</w:t>
      </w:r>
      <w:r>
        <w:rPr>
          <w:rFonts w:ascii="宋体" w:hAnsi="宋体" w:hint="eastAsia"/>
          <w:sz w:val="24"/>
        </w:rPr>
        <w:t>招商银行大厦</w:t>
      </w:r>
    </w:p>
    <w:p w14:paraId="7FC0E0F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法定代表人：缪建民</w:t>
      </w:r>
    </w:p>
    <w:p w14:paraId="258442B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95555</w:t>
      </w:r>
    </w:p>
    <w:p w14:paraId="5DFF790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网址：www</w:t>
      </w:r>
      <w:r>
        <w:rPr>
          <w:rFonts w:ascii="宋体" w:hAnsi="宋体"/>
          <w:sz w:val="24"/>
        </w:rPr>
        <w:t>.</w:t>
      </w:r>
      <w:r>
        <w:rPr>
          <w:rFonts w:ascii="宋体" w:hAnsi="宋体" w:hint="eastAsia"/>
          <w:sz w:val="24"/>
        </w:rPr>
        <w:t>cmbchina</w:t>
      </w:r>
      <w:r>
        <w:rPr>
          <w:rFonts w:ascii="宋体" w:hAnsi="宋体"/>
          <w:sz w:val="24"/>
        </w:rPr>
        <w:t>.com</w:t>
      </w:r>
    </w:p>
    <w:p w14:paraId="2CD23378"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2</w:t>
      </w:r>
      <w:r>
        <w:rPr>
          <w:rFonts w:ascii="宋体" w:hAnsi="宋体"/>
          <w:sz w:val="24"/>
        </w:rPr>
        <w:t>）</w:t>
      </w:r>
      <w:r>
        <w:rPr>
          <w:rFonts w:ascii="宋体" w:hAnsi="宋体" w:hint="eastAsia"/>
          <w:sz w:val="24"/>
        </w:rPr>
        <w:t>广发证券股份有限公司</w:t>
      </w:r>
    </w:p>
    <w:p w14:paraId="170D521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注册地址：广州市黄埔区中新广州知识城腾飞一街</w:t>
      </w:r>
      <w:r>
        <w:rPr>
          <w:rFonts w:ascii="宋体" w:hAnsi="宋体"/>
          <w:sz w:val="24"/>
        </w:rPr>
        <w:t>2号618室</w:t>
      </w:r>
    </w:p>
    <w:p w14:paraId="751331D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办公地址：广州市天河区</w:t>
      </w:r>
      <w:proofErr w:type="gramStart"/>
      <w:r>
        <w:rPr>
          <w:rFonts w:ascii="宋体" w:hAnsi="宋体" w:hint="eastAsia"/>
          <w:sz w:val="24"/>
        </w:rPr>
        <w:t>马场路</w:t>
      </w:r>
      <w:proofErr w:type="gramEnd"/>
      <w:r>
        <w:rPr>
          <w:rFonts w:ascii="宋体" w:hAnsi="宋体"/>
          <w:sz w:val="24"/>
        </w:rPr>
        <w:t>26号广发证券大厦</w:t>
      </w:r>
    </w:p>
    <w:p w14:paraId="7C6BFE1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法定代表人：林传辉</w:t>
      </w:r>
    </w:p>
    <w:p w14:paraId="560085D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：95575</w:t>
      </w:r>
    </w:p>
    <w:p w14:paraId="6D1C3557"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网址：</w:t>
      </w:r>
      <w:hyperlink r:id="rId18" w:history="1">
        <w:r>
          <w:rPr>
            <w:rFonts w:ascii="宋体" w:hAnsi="宋体"/>
            <w:sz w:val="24"/>
          </w:rPr>
          <w:t>www.gf.com.cn</w:t>
        </w:r>
      </w:hyperlink>
    </w:p>
    <w:p w14:paraId="6E37447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（3）上海天天基金销售有限公司</w:t>
      </w:r>
    </w:p>
    <w:p w14:paraId="59496403" w14:textId="3E4E45E8" w:rsidR="008A6127" w:rsidRDefault="00437D9F">
      <w:pPr>
        <w:snapToGrid w:val="0"/>
        <w:spacing w:line="360" w:lineRule="auto"/>
        <w:ind w:firstLineChars="200" w:firstLine="480"/>
        <w:rPr>
          <w:rFonts w:ascii="宋体" w:hAnsi="宋体"/>
          <w:sz w:val="24"/>
        </w:rPr>
      </w:pPr>
      <w:r>
        <w:rPr>
          <w:rFonts w:ascii="宋体" w:hAnsi="宋体" w:hint="eastAsia"/>
          <w:sz w:val="24"/>
        </w:rPr>
        <w:t>注册地址：</w:t>
      </w:r>
      <w:r w:rsidR="00A3227B" w:rsidRPr="00A3227B">
        <w:rPr>
          <w:rFonts w:ascii="宋体" w:hAnsi="宋体" w:hint="eastAsia"/>
          <w:sz w:val="24"/>
        </w:rPr>
        <w:t>上海市徐汇区龙田路190号2号楼二层</w:t>
      </w:r>
    </w:p>
    <w:p w14:paraId="6F8EB382" w14:textId="47D2FD28" w:rsidR="008A6127" w:rsidRDefault="00437D9F">
      <w:pPr>
        <w:snapToGrid w:val="0"/>
        <w:spacing w:line="360" w:lineRule="auto"/>
        <w:ind w:firstLineChars="200" w:firstLine="480"/>
        <w:rPr>
          <w:rFonts w:ascii="宋体" w:hAnsi="宋体"/>
          <w:sz w:val="24"/>
        </w:rPr>
      </w:pPr>
      <w:r>
        <w:rPr>
          <w:rFonts w:ascii="宋体" w:hAnsi="宋体" w:hint="eastAsia"/>
          <w:sz w:val="24"/>
        </w:rPr>
        <w:t>办公地址：</w:t>
      </w:r>
      <w:r w:rsidR="00A3227B" w:rsidRPr="00A3227B">
        <w:rPr>
          <w:rFonts w:ascii="宋体" w:hAnsi="宋体" w:hint="eastAsia"/>
          <w:sz w:val="24"/>
        </w:rPr>
        <w:t>上海市徐汇区宛平南路88号7、23、25、26层</w:t>
      </w:r>
    </w:p>
    <w:p w14:paraId="50897C0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法定代表人：其实</w:t>
      </w:r>
    </w:p>
    <w:p w14:paraId="456932C6" w14:textId="0B5F0FCE"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sidR="001D7AD1" w:rsidRPr="001D7AD1">
        <w:rPr>
          <w:rFonts w:ascii="宋体" w:hAnsi="宋体"/>
          <w:sz w:val="24"/>
        </w:rPr>
        <w:t>400-1818-188</w:t>
      </w:r>
    </w:p>
    <w:p w14:paraId="6FCDC24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t>
      </w:r>
      <w:r>
        <w:rPr>
          <w:rFonts w:ascii="宋体" w:hAnsi="宋体"/>
          <w:sz w:val="24"/>
        </w:rPr>
        <w:t>fund.eastmoney.com</w:t>
      </w:r>
    </w:p>
    <w:p w14:paraId="43A2EA4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4</w:t>
      </w:r>
      <w:r>
        <w:rPr>
          <w:rFonts w:ascii="宋体" w:hAnsi="宋体" w:hint="eastAsia"/>
          <w:sz w:val="24"/>
        </w:rPr>
        <w:t>）北京雪球基金销售有限公司</w:t>
      </w:r>
    </w:p>
    <w:p w14:paraId="5C032A9E" w14:textId="273B5F32" w:rsidR="008A6127" w:rsidRDefault="00437D9F">
      <w:pPr>
        <w:snapToGrid w:val="0"/>
        <w:spacing w:line="360" w:lineRule="auto"/>
        <w:ind w:firstLineChars="200" w:firstLine="480"/>
        <w:rPr>
          <w:rFonts w:ascii="宋体" w:hAnsi="宋体"/>
          <w:sz w:val="24"/>
        </w:rPr>
      </w:pPr>
      <w:r>
        <w:rPr>
          <w:rFonts w:ascii="宋体" w:hAnsi="宋体" w:hint="eastAsia"/>
          <w:sz w:val="24"/>
        </w:rPr>
        <w:t>注册地址：</w:t>
      </w:r>
      <w:r w:rsidR="001D7AD1" w:rsidRPr="001D7AD1">
        <w:rPr>
          <w:rFonts w:ascii="宋体" w:hAnsi="宋体" w:hint="eastAsia"/>
          <w:sz w:val="24"/>
        </w:rPr>
        <w:t>北京市朝阳区创远路34号院6号楼19层1901内1903室</w:t>
      </w:r>
    </w:p>
    <w:p w14:paraId="0086D468" w14:textId="386CBAA0" w:rsidR="008A6127" w:rsidRDefault="00437D9F">
      <w:pPr>
        <w:snapToGrid w:val="0"/>
        <w:spacing w:line="360" w:lineRule="auto"/>
        <w:ind w:firstLineChars="200" w:firstLine="480"/>
        <w:rPr>
          <w:rFonts w:ascii="宋体" w:hAnsi="宋体"/>
          <w:sz w:val="24"/>
        </w:rPr>
      </w:pPr>
      <w:r>
        <w:rPr>
          <w:rFonts w:ascii="宋体" w:hAnsi="宋体" w:hint="eastAsia"/>
          <w:sz w:val="24"/>
        </w:rPr>
        <w:t>办公地址：</w:t>
      </w:r>
      <w:r w:rsidR="00A3227B" w:rsidRPr="00A3227B">
        <w:rPr>
          <w:rFonts w:ascii="宋体" w:hAnsi="宋体" w:hint="eastAsia"/>
          <w:sz w:val="24"/>
        </w:rPr>
        <w:t>北京市朝阳区创远路34号院6号楼15层1501</w:t>
      </w:r>
    </w:p>
    <w:p w14:paraId="4F8F4790" w14:textId="77777777" w:rsidR="008A6127" w:rsidRDefault="00437D9F">
      <w:pPr>
        <w:snapToGrid w:val="0"/>
        <w:spacing w:line="360" w:lineRule="auto"/>
        <w:ind w:firstLineChars="200" w:firstLine="480"/>
        <w:rPr>
          <w:rFonts w:ascii="宋体" w:hAnsi="宋体"/>
          <w:sz w:val="24"/>
        </w:rPr>
      </w:pPr>
      <w:r>
        <w:rPr>
          <w:rFonts w:ascii="宋体" w:hAnsi="宋体"/>
          <w:sz w:val="24"/>
        </w:rPr>
        <w:t>法定代表人：</w:t>
      </w:r>
      <w:r>
        <w:rPr>
          <w:rFonts w:ascii="宋体" w:hAnsi="宋体" w:hint="eastAsia"/>
          <w:sz w:val="24"/>
        </w:rPr>
        <w:t>李楠</w:t>
      </w:r>
    </w:p>
    <w:p w14:paraId="46B9387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400-159-9288</w:t>
      </w:r>
    </w:p>
    <w:p w14:paraId="4AB88B7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网址：http</w:t>
      </w:r>
      <w:r>
        <w:rPr>
          <w:rFonts w:ascii="宋体" w:hAnsi="宋体"/>
          <w:sz w:val="24"/>
        </w:rPr>
        <w:t>s://danjuanapp.com</w:t>
      </w:r>
    </w:p>
    <w:p w14:paraId="24CB4AB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5</w:t>
      </w:r>
      <w:r>
        <w:rPr>
          <w:rFonts w:ascii="宋体" w:hAnsi="宋体" w:hint="eastAsia"/>
          <w:sz w:val="24"/>
        </w:rPr>
        <w:t>）上海好买基金销售有限公司</w:t>
      </w:r>
    </w:p>
    <w:p w14:paraId="25FD48C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注册地址：上海市虹口区东大名路501号6211单元</w:t>
      </w:r>
    </w:p>
    <w:p w14:paraId="00DF053F" w14:textId="3E4067FD" w:rsidR="008A6127" w:rsidRDefault="00437D9F">
      <w:pPr>
        <w:snapToGrid w:val="0"/>
        <w:spacing w:line="360" w:lineRule="auto"/>
        <w:ind w:firstLineChars="200" w:firstLine="480"/>
        <w:rPr>
          <w:rFonts w:ascii="宋体" w:hAnsi="宋体"/>
          <w:sz w:val="24"/>
        </w:rPr>
      </w:pPr>
      <w:r>
        <w:rPr>
          <w:rFonts w:ascii="宋体" w:hAnsi="宋体" w:hint="eastAsia"/>
          <w:sz w:val="24"/>
        </w:rPr>
        <w:t>办公地址：上海市浦东新区张杨路500号华</w:t>
      </w:r>
      <w:proofErr w:type="gramStart"/>
      <w:r>
        <w:rPr>
          <w:rFonts w:ascii="宋体" w:hAnsi="宋体" w:hint="eastAsia"/>
          <w:sz w:val="24"/>
        </w:rPr>
        <w:t>润时代</w:t>
      </w:r>
      <w:proofErr w:type="gramEnd"/>
      <w:r>
        <w:rPr>
          <w:rFonts w:ascii="宋体" w:hAnsi="宋体" w:hint="eastAsia"/>
          <w:sz w:val="24"/>
        </w:rPr>
        <w:t>广场商务楼</w:t>
      </w:r>
      <w:r w:rsidR="00A3227B">
        <w:rPr>
          <w:rFonts w:ascii="宋体" w:hAnsi="宋体" w:hint="eastAsia"/>
          <w:sz w:val="24"/>
        </w:rPr>
        <w:t>1</w:t>
      </w:r>
      <w:r w:rsidR="00A3227B">
        <w:rPr>
          <w:rFonts w:ascii="宋体" w:hAnsi="宋体"/>
          <w:sz w:val="24"/>
        </w:rPr>
        <w:t>0</w:t>
      </w:r>
      <w:r>
        <w:rPr>
          <w:rFonts w:ascii="宋体" w:hAnsi="宋体" w:hint="eastAsia"/>
          <w:sz w:val="24"/>
        </w:rPr>
        <w:t>楼</w:t>
      </w:r>
    </w:p>
    <w:p w14:paraId="06D8DF6A" w14:textId="77777777" w:rsidR="008A6127" w:rsidRDefault="00437D9F">
      <w:pPr>
        <w:snapToGrid w:val="0"/>
        <w:spacing w:line="360" w:lineRule="auto"/>
        <w:ind w:firstLineChars="200" w:firstLine="480"/>
        <w:rPr>
          <w:rFonts w:ascii="宋体" w:hAnsi="宋体"/>
          <w:sz w:val="24"/>
        </w:rPr>
      </w:pPr>
      <w:r>
        <w:rPr>
          <w:rFonts w:ascii="宋体" w:hAnsi="宋体"/>
          <w:sz w:val="24"/>
        </w:rPr>
        <w:t>法定代表人：</w:t>
      </w:r>
      <w:r>
        <w:rPr>
          <w:rFonts w:ascii="宋体" w:hAnsi="宋体" w:hint="eastAsia"/>
          <w:sz w:val="24"/>
        </w:rPr>
        <w:t>陶怡</w:t>
      </w:r>
    </w:p>
    <w:p w14:paraId="48FF885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400-700-9665</w:t>
      </w:r>
    </w:p>
    <w:p w14:paraId="0E1EB56F" w14:textId="47E222E9" w:rsidR="008A6127" w:rsidRDefault="00437D9F">
      <w:pPr>
        <w:snapToGrid w:val="0"/>
        <w:spacing w:line="360" w:lineRule="auto"/>
        <w:ind w:firstLineChars="200" w:firstLine="480"/>
        <w:rPr>
          <w:rFonts w:ascii="宋体" w:hAnsi="宋体"/>
          <w:sz w:val="24"/>
        </w:rPr>
      </w:pPr>
      <w:r>
        <w:rPr>
          <w:rFonts w:ascii="宋体" w:hAnsi="宋体" w:hint="eastAsia"/>
          <w:sz w:val="24"/>
        </w:rPr>
        <w:t>网址：www</w:t>
      </w:r>
      <w:r>
        <w:rPr>
          <w:rFonts w:ascii="宋体" w:hAnsi="宋体"/>
          <w:sz w:val="24"/>
        </w:rPr>
        <w:t>.howbuy.com</w:t>
      </w:r>
    </w:p>
    <w:p w14:paraId="4B231F1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6</w:t>
      </w:r>
      <w:r>
        <w:rPr>
          <w:rFonts w:ascii="宋体" w:hAnsi="宋体" w:hint="eastAsia"/>
          <w:sz w:val="24"/>
        </w:rPr>
        <w:t>）珠海</w:t>
      </w:r>
      <w:proofErr w:type="gramStart"/>
      <w:r>
        <w:rPr>
          <w:rFonts w:ascii="宋体" w:hAnsi="宋体" w:hint="eastAsia"/>
          <w:sz w:val="24"/>
        </w:rPr>
        <w:t>盈米基金</w:t>
      </w:r>
      <w:proofErr w:type="gramEnd"/>
      <w:r>
        <w:rPr>
          <w:rFonts w:ascii="宋体" w:hAnsi="宋体" w:hint="eastAsia"/>
          <w:sz w:val="24"/>
        </w:rPr>
        <w:t>销售有限公司</w:t>
      </w:r>
    </w:p>
    <w:p w14:paraId="1D6D99CB" w14:textId="1B1CE4EA" w:rsidR="008A6127" w:rsidRDefault="00437D9F">
      <w:pPr>
        <w:snapToGrid w:val="0"/>
        <w:spacing w:line="360" w:lineRule="auto"/>
        <w:ind w:firstLineChars="200" w:firstLine="480"/>
        <w:rPr>
          <w:rFonts w:ascii="宋体" w:hAnsi="宋体"/>
          <w:sz w:val="24"/>
        </w:rPr>
      </w:pPr>
      <w:r>
        <w:rPr>
          <w:rFonts w:ascii="宋体" w:hAnsi="宋体" w:hint="eastAsia"/>
          <w:sz w:val="24"/>
        </w:rPr>
        <w:t>注册地址：珠海市横琴</w:t>
      </w:r>
      <w:proofErr w:type="gramStart"/>
      <w:r>
        <w:rPr>
          <w:rFonts w:ascii="宋体" w:hAnsi="宋体" w:hint="eastAsia"/>
          <w:sz w:val="24"/>
        </w:rPr>
        <w:t>新区琴朗道</w:t>
      </w:r>
      <w:proofErr w:type="gramEnd"/>
      <w:r>
        <w:rPr>
          <w:rFonts w:ascii="宋体" w:hAnsi="宋体" w:hint="eastAsia"/>
          <w:sz w:val="24"/>
        </w:rPr>
        <w:t>91号1608、1609、1610办公</w:t>
      </w:r>
    </w:p>
    <w:p w14:paraId="10B1B6B3" w14:textId="514079D0" w:rsidR="008A6127" w:rsidRDefault="00437D9F">
      <w:pPr>
        <w:snapToGrid w:val="0"/>
        <w:spacing w:line="360" w:lineRule="auto"/>
        <w:ind w:firstLineChars="200" w:firstLine="480"/>
        <w:rPr>
          <w:rFonts w:ascii="宋体" w:hAnsi="宋体"/>
          <w:sz w:val="24"/>
        </w:rPr>
      </w:pPr>
      <w:r>
        <w:rPr>
          <w:rFonts w:ascii="宋体" w:hAnsi="宋体" w:hint="eastAsia"/>
          <w:sz w:val="24"/>
        </w:rPr>
        <w:t>办公地址：</w:t>
      </w:r>
      <w:r w:rsidR="001D7AD1" w:rsidRPr="001D7AD1">
        <w:rPr>
          <w:rFonts w:ascii="宋体" w:hAnsi="宋体" w:hint="eastAsia"/>
          <w:sz w:val="24"/>
        </w:rPr>
        <w:t>广州市海</w:t>
      </w:r>
      <w:proofErr w:type="gramStart"/>
      <w:r w:rsidR="001D7AD1" w:rsidRPr="001D7AD1">
        <w:rPr>
          <w:rFonts w:ascii="宋体" w:hAnsi="宋体" w:hint="eastAsia"/>
          <w:sz w:val="24"/>
        </w:rPr>
        <w:t>珠区阅江</w:t>
      </w:r>
      <w:proofErr w:type="gramEnd"/>
      <w:r w:rsidR="001D7AD1" w:rsidRPr="001D7AD1">
        <w:rPr>
          <w:rFonts w:ascii="宋体" w:hAnsi="宋体" w:hint="eastAsia"/>
          <w:sz w:val="24"/>
        </w:rPr>
        <w:t>中路688号保利国际广场北塔8楼</w:t>
      </w:r>
    </w:p>
    <w:p w14:paraId="0CBA9C1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法定代表人：肖雯</w:t>
      </w:r>
      <w:r>
        <w:rPr>
          <w:rFonts w:ascii="宋体" w:hAnsi="宋体"/>
          <w:sz w:val="24"/>
        </w:rPr>
        <w:t xml:space="preserve"> </w:t>
      </w:r>
    </w:p>
    <w:p w14:paraId="6E03C90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020-89629066</w:t>
      </w:r>
    </w:p>
    <w:p w14:paraId="22439F6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t>
      </w:r>
      <w:hyperlink r:id="rId19" w:history="1">
        <w:r>
          <w:rPr>
            <w:rFonts w:hint="eastAsia"/>
          </w:rPr>
          <w:t>w</w:t>
        </w:r>
        <w:r>
          <w:t>ww.yingmi.cn</w:t>
        </w:r>
      </w:hyperlink>
    </w:p>
    <w:p w14:paraId="1747237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7</w:t>
      </w:r>
      <w:r>
        <w:rPr>
          <w:rFonts w:ascii="宋体" w:hAnsi="宋体" w:hint="eastAsia"/>
          <w:sz w:val="24"/>
        </w:rPr>
        <w:t>）上海万得基金销售有限公司</w:t>
      </w:r>
    </w:p>
    <w:p w14:paraId="1F29298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注册地址：中国（上海）自由贸易试验区浦明路1500号8层M座</w:t>
      </w:r>
    </w:p>
    <w:p w14:paraId="092C20CE" w14:textId="5B78F19C" w:rsidR="008A6127" w:rsidRDefault="00437D9F">
      <w:pPr>
        <w:snapToGrid w:val="0"/>
        <w:spacing w:line="360" w:lineRule="auto"/>
        <w:ind w:firstLineChars="200" w:firstLine="480"/>
        <w:rPr>
          <w:rFonts w:ascii="宋体" w:hAnsi="宋体"/>
          <w:sz w:val="24"/>
        </w:rPr>
      </w:pPr>
      <w:r>
        <w:rPr>
          <w:rFonts w:ascii="宋体" w:hAnsi="宋体" w:hint="eastAsia"/>
          <w:sz w:val="24"/>
        </w:rPr>
        <w:t>办公地址：</w:t>
      </w:r>
      <w:r w:rsidR="00A3227B" w:rsidRPr="00A3227B">
        <w:rPr>
          <w:rFonts w:ascii="宋体" w:hAnsi="宋体" w:hint="eastAsia"/>
          <w:sz w:val="24"/>
        </w:rPr>
        <w:t>上海市浦东新区中国(上海)自由贸易试验区浦明路1500号8层M座</w:t>
      </w:r>
    </w:p>
    <w:p w14:paraId="7CF327B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法定代表人：简梦雯</w:t>
      </w:r>
    </w:p>
    <w:p w14:paraId="1748AAF9" w14:textId="49D9E089"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客户服务电话：</w:t>
      </w:r>
      <w:r w:rsidR="00A3227B" w:rsidRPr="00AD3A99">
        <w:rPr>
          <w:rFonts w:ascii="宋体" w:hAnsi="宋体"/>
          <w:sz w:val="24"/>
        </w:rPr>
        <w:t>021-50712782</w:t>
      </w:r>
    </w:p>
    <w:p w14:paraId="59D3CB2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网址：www.520fund.com.cn</w:t>
      </w:r>
    </w:p>
    <w:p w14:paraId="2D266A7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（8）西部期货有限公司</w:t>
      </w:r>
    </w:p>
    <w:p w14:paraId="35CE5CE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注册地址：陕西省西安市新城区东新街319号8幢10000室9层、10层</w:t>
      </w:r>
    </w:p>
    <w:p w14:paraId="48CDBF76" w14:textId="7DF32808" w:rsidR="008A6127" w:rsidRDefault="00437D9F">
      <w:pPr>
        <w:snapToGrid w:val="0"/>
        <w:spacing w:line="360" w:lineRule="auto"/>
        <w:ind w:firstLineChars="200" w:firstLine="480"/>
        <w:rPr>
          <w:rFonts w:ascii="宋体" w:hAnsi="宋体"/>
          <w:sz w:val="24"/>
        </w:rPr>
      </w:pPr>
      <w:r>
        <w:rPr>
          <w:rFonts w:ascii="宋体" w:hAnsi="宋体" w:hint="eastAsia"/>
          <w:sz w:val="24"/>
        </w:rPr>
        <w:t>办公地址：</w:t>
      </w:r>
      <w:r w:rsidR="00A3227B" w:rsidRPr="00A3227B">
        <w:rPr>
          <w:rFonts w:ascii="宋体" w:hAnsi="宋体" w:hint="eastAsia"/>
          <w:sz w:val="24"/>
        </w:rPr>
        <w:t>陕西省西安市新城区东新街319号8幢10000室9层、10层</w:t>
      </w:r>
    </w:p>
    <w:p w14:paraId="1836F3A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法定代表人：王宝辉</w:t>
      </w:r>
    </w:p>
    <w:p w14:paraId="0F2E02B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400-688-6896</w:t>
      </w:r>
    </w:p>
    <w:p w14:paraId="732B176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t>
      </w:r>
      <w:hyperlink r:id="rId20" w:history="1">
        <w:r>
          <w:rPr>
            <w:rFonts w:ascii="宋体" w:hAnsi="宋体" w:hint="eastAsia"/>
            <w:sz w:val="24"/>
          </w:rPr>
          <w:t>www</w:t>
        </w:r>
        <w:r>
          <w:rPr>
            <w:rFonts w:ascii="宋体" w:hAnsi="宋体"/>
            <w:sz w:val="24"/>
          </w:rPr>
          <w:t>.westfutu.com</w:t>
        </w:r>
      </w:hyperlink>
    </w:p>
    <w:p w14:paraId="572D73A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9</w:t>
      </w:r>
      <w:r>
        <w:rPr>
          <w:rFonts w:ascii="宋体" w:hAnsi="宋体" w:hint="eastAsia"/>
          <w:sz w:val="24"/>
        </w:rPr>
        <w:t>）华泰证券股份有限公司</w:t>
      </w:r>
    </w:p>
    <w:p w14:paraId="05B9BDB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注册地址：南京市江东中路 228 号</w:t>
      </w:r>
    </w:p>
    <w:p w14:paraId="41B08B6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办公地址：南京市建</w:t>
      </w:r>
      <w:proofErr w:type="gramStart"/>
      <w:r>
        <w:rPr>
          <w:rFonts w:ascii="宋体" w:hAnsi="宋体" w:hint="eastAsia"/>
          <w:sz w:val="24"/>
        </w:rPr>
        <w:t>邺</w:t>
      </w:r>
      <w:proofErr w:type="gramEnd"/>
      <w:r>
        <w:rPr>
          <w:rFonts w:ascii="宋体" w:hAnsi="宋体" w:hint="eastAsia"/>
          <w:sz w:val="24"/>
        </w:rPr>
        <w:t>区江东中路 228 号华泰证券广场</w:t>
      </w:r>
    </w:p>
    <w:p w14:paraId="2CE08114" w14:textId="2F4A8D6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w:t>
      </w:r>
      <w:r w:rsidR="001D7AD1" w:rsidRPr="001D7AD1">
        <w:rPr>
          <w:rFonts w:ascii="宋体" w:hAnsi="宋体" w:hint="eastAsia"/>
          <w:sz w:val="24"/>
        </w:rPr>
        <w:t>王会清</w:t>
      </w:r>
    </w:p>
    <w:p w14:paraId="3BC4988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客服电话：95597</w:t>
      </w:r>
    </w:p>
    <w:p w14:paraId="001B8E92"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w:t>
      </w:r>
      <w:hyperlink r:id="rId21" w:history="1">
        <w:r w:rsidRPr="005E1594">
          <w:t>www.htsc.com.cn</w:t>
        </w:r>
      </w:hyperlink>
    </w:p>
    <w:p w14:paraId="3C39144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10</w:t>
      </w:r>
      <w:r>
        <w:rPr>
          <w:rFonts w:ascii="宋体" w:hAnsi="宋体" w:hint="eastAsia"/>
          <w:sz w:val="24"/>
        </w:rPr>
        <w:t>）上海基</w:t>
      </w:r>
      <w:proofErr w:type="gramStart"/>
      <w:r>
        <w:rPr>
          <w:rFonts w:ascii="宋体" w:hAnsi="宋体" w:hint="eastAsia"/>
          <w:sz w:val="24"/>
        </w:rPr>
        <w:t>煜</w:t>
      </w:r>
      <w:proofErr w:type="gramEnd"/>
      <w:r>
        <w:rPr>
          <w:rFonts w:ascii="宋体" w:hAnsi="宋体" w:hint="eastAsia"/>
          <w:sz w:val="24"/>
        </w:rPr>
        <w:t>基金销售有限公司</w:t>
      </w:r>
    </w:p>
    <w:p w14:paraId="74CB2209" w14:textId="4F5A10A5" w:rsidR="008A6127" w:rsidRDefault="00437D9F">
      <w:pPr>
        <w:snapToGrid w:val="0"/>
        <w:spacing w:line="360" w:lineRule="auto"/>
        <w:ind w:firstLineChars="200" w:firstLine="480"/>
        <w:rPr>
          <w:rFonts w:ascii="宋体" w:hAnsi="宋体"/>
          <w:sz w:val="24"/>
        </w:rPr>
      </w:pPr>
      <w:r>
        <w:rPr>
          <w:rFonts w:ascii="宋体" w:hAnsi="宋体" w:hint="eastAsia"/>
          <w:sz w:val="24"/>
        </w:rPr>
        <w:t>注册地址：</w:t>
      </w:r>
      <w:r w:rsidR="007D5F04" w:rsidRPr="007D5F04">
        <w:rPr>
          <w:rFonts w:ascii="宋体" w:hAnsi="宋体" w:hint="eastAsia"/>
          <w:sz w:val="24"/>
        </w:rPr>
        <w:t>上海市黄浦区广东路500号30层3001单元</w:t>
      </w:r>
    </w:p>
    <w:p w14:paraId="2FE5976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办公地址：上海市浦东</w:t>
      </w:r>
      <w:proofErr w:type="gramStart"/>
      <w:r>
        <w:rPr>
          <w:rFonts w:ascii="宋体" w:hAnsi="宋体" w:hint="eastAsia"/>
          <w:sz w:val="24"/>
        </w:rPr>
        <w:t>新区银</w:t>
      </w:r>
      <w:proofErr w:type="gramEnd"/>
      <w:r>
        <w:rPr>
          <w:rFonts w:ascii="宋体" w:hAnsi="宋体" w:hint="eastAsia"/>
          <w:sz w:val="24"/>
        </w:rPr>
        <w:t>城中路 488</w:t>
      </w:r>
      <w:r>
        <w:rPr>
          <w:rFonts w:ascii="宋体" w:hAnsi="宋体"/>
          <w:sz w:val="24"/>
        </w:rPr>
        <w:t xml:space="preserve"> </w:t>
      </w:r>
      <w:r>
        <w:rPr>
          <w:rFonts w:ascii="宋体" w:hAnsi="宋体" w:hint="eastAsia"/>
          <w:sz w:val="24"/>
        </w:rPr>
        <w:t>号太平金融大厦 1503</w:t>
      </w:r>
      <w:r>
        <w:rPr>
          <w:rFonts w:ascii="宋体" w:hAnsi="宋体"/>
          <w:sz w:val="24"/>
        </w:rPr>
        <w:t xml:space="preserve"> </w:t>
      </w:r>
      <w:r>
        <w:rPr>
          <w:rFonts w:ascii="宋体" w:hAnsi="宋体" w:hint="eastAsia"/>
          <w:sz w:val="24"/>
        </w:rPr>
        <w:t>室</w:t>
      </w:r>
    </w:p>
    <w:p w14:paraId="15ED0B2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法定代表人：王翔</w:t>
      </w:r>
      <w:r>
        <w:rPr>
          <w:rFonts w:ascii="宋体" w:hAnsi="宋体"/>
          <w:sz w:val="24"/>
        </w:rPr>
        <w:t xml:space="preserve"> </w:t>
      </w:r>
    </w:p>
    <w:p w14:paraId="41D0AE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400-820-5369</w:t>
      </w:r>
    </w:p>
    <w:p w14:paraId="7DD1C8E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网址：www.jiyufund.com.cn</w:t>
      </w:r>
      <w:r>
        <w:rPr>
          <w:rFonts w:ascii="宋体" w:hAnsi="宋体"/>
          <w:sz w:val="24"/>
        </w:rPr>
        <w:t xml:space="preserve"> </w:t>
      </w:r>
    </w:p>
    <w:p w14:paraId="7416081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1</w:t>
      </w:r>
      <w:r>
        <w:rPr>
          <w:rFonts w:ascii="宋体" w:hAnsi="宋体" w:hint="eastAsia"/>
          <w:sz w:val="24"/>
        </w:rPr>
        <w:t>）中信证券股份有限公司</w:t>
      </w:r>
    </w:p>
    <w:p w14:paraId="0C41F61D" w14:textId="77777777" w:rsidR="008A6127" w:rsidRDefault="00437D9F">
      <w:pPr>
        <w:snapToGrid w:val="0"/>
        <w:spacing w:line="360" w:lineRule="auto"/>
        <w:ind w:firstLineChars="200" w:firstLine="480"/>
        <w:rPr>
          <w:rFonts w:ascii="宋体" w:hAnsi="宋体"/>
          <w:sz w:val="24"/>
        </w:rPr>
      </w:pPr>
      <w:r>
        <w:rPr>
          <w:rFonts w:ascii="宋体" w:hAnsi="宋体"/>
          <w:sz w:val="24"/>
        </w:rPr>
        <w:t>注册地址：</w:t>
      </w:r>
      <w:r>
        <w:rPr>
          <w:rFonts w:ascii="宋体" w:hAnsi="宋体" w:hint="eastAsia"/>
          <w:sz w:val="24"/>
        </w:rPr>
        <w:t>广东省深圳市福田区中心三路8号卓越时代广场（二期）北座</w:t>
      </w:r>
    </w:p>
    <w:p w14:paraId="598B6537" w14:textId="77777777" w:rsidR="008A6127" w:rsidRDefault="00437D9F">
      <w:pPr>
        <w:snapToGrid w:val="0"/>
        <w:spacing w:line="360" w:lineRule="auto"/>
        <w:ind w:firstLineChars="200" w:firstLine="480"/>
        <w:rPr>
          <w:rFonts w:ascii="宋体" w:hAnsi="宋体"/>
          <w:sz w:val="24"/>
        </w:rPr>
      </w:pPr>
      <w:r>
        <w:rPr>
          <w:rFonts w:ascii="宋体" w:hAnsi="宋体"/>
          <w:sz w:val="24"/>
        </w:rPr>
        <w:t>办公地址：</w:t>
      </w:r>
      <w:r>
        <w:rPr>
          <w:rFonts w:ascii="宋体" w:hAnsi="宋体" w:hint="eastAsia"/>
          <w:sz w:val="24"/>
        </w:rPr>
        <w:t>北京市朝阳区亮马桥路48号中信证券大厦</w:t>
      </w:r>
    </w:p>
    <w:p w14:paraId="53B6CF0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法定代表人：张佑君</w:t>
      </w:r>
    </w:p>
    <w:p w14:paraId="2731873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95558</w:t>
      </w:r>
    </w:p>
    <w:p w14:paraId="321D98A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t>
      </w:r>
      <w:r>
        <w:rPr>
          <w:rFonts w:ascii="宋体" w:hAnsi="宋体"/>
          <w:sz w:val="24"/>
        </w:rPr>
        <w:t>www.cs.ecitic.com</w:t>
      </w:r>
    </w:p>
    <w:p w14:paraId="3477388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2</w:t>
      </w:r>
      <w:r>
        <w:rPr>
          <w:rFonts w:ascii="宋体" w:hAnsi="宋体" w:hint="eastAsia"/>
          <w:sz w:val="24"/>
        </w:rPr>
        <w:t>）中信证券(山东)有限责任公司</w:t>
      </w:r>
    </w:p>
    <w:p w14:paraId="5CC093C5" w14:textId="362A1C2A" w:rsidR="008A6127" w:rsidRDefault="00437D9F">
      <w:pPr>
        <w:snapToGrid w:val="0"/>
        <w:spacing w:line="360" w:lineRule="auto"/>
        <w:ind w:firstLineChars="200" w:firstLine="480"/>
        <w:rPr>
          <w:rFonts w:ascii="宋体" w:hAnsi="宋体"/>
          <w:sz w:val="24"/>
        </w:rPr>
      </w:pPr>
      <w:r>
        <w:rPr>
          <w:rFonts w:ascii="宋体" w:hAnsi="宋体" w:hint="eastAsia"/>
          <w:sz w:val="24"/>
        </w:rPr>
        <w:t>注册地址：</w:t>
      </w:r>
      <w:r w:rsidR="002259B7" w:rsidRPr="002259B7">
        <w:rPr>
          <w:rFonts w:ascii="宋体" w:hAnsi="宋体" w:hint="eastAsia"/>
          <w:sz w:val="24"/>
        </w:rPr>
        <w:t>青岛市崂山区深圳路222号1号楼2001</w:t>
      </w:r>
    </w:p>
    <w:p w14:paraId="62F1C8A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办公地址：山东省青岛市市南区东海西路 28 号龙</w:t>
      </w:r>
      <w:proofErr w:type="gramStart"/>
      <w:r>
        <w:rPr>
          <w:rFonts w:ascii="宋体" w:hAnsi="宋体" w:hint="eastAsia"/>
          <w:sz w:val="24"/>
        </w:rPr>
        <w:t>翔广场东</w:t>
      </w:r>
      <w:proofErr w:type="gramEnd"/>
      <w:r>
        <w:rPr>
          <w:rFonts w:ascii="宋体" w:hAnsi="宋体" w:hint="eastAsia"/>
          <w:sz w:val="24"/>
        </w:rPr>
        <w:t>座5层</w:t>
      </w:r>
    </w:p>
    <w:p w14:paraId="70AB9192" w14:textId="4D3D660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w:t>
      </w:r>
      <w:r w:rsidR="007D5F04" w:rsidRPr="007D5F04">
        <w:rPr>
          <w:rFonts w:ascii="宋体" w:hAnsi="宋体" w:hint="eastAsia"/>
          <w:sz w:val="24"/>
        </w:rPr>
        <w:t>肖海峰</w:t>
      </w:r>
    </w:p>
    <w:p w14:paraId="00FC854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客服电话：9</w:t>
      </w:r>
      <w:r>
        <w:rPr>
          <w:rFonts w:ascii="宋体" w:hAnsi="宋体"/>
          <w:sz w:val="24"/>
        </w:rPr>
        <w:t>5548</w:t>
      </w:r>
    </w:p>
    <w:p w14:paraId="7290C1C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t>
      </w:r>
      <w:r>
        <w:rPr>
          <w:rFonts w:ascii="宋体" w:hAnsi="宋体"/>
          <w:sz w:val="24"/>
        </w:rPr>
        <w:t>http://sd.citics.com</w:t>
      </w:r>
    </w:p>
    <w:p w14:paraId="36673E8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3</w:t>
      </w:r>
      <w:r>
        <w:rPr>
          <w:rFonts w:ascii="宋体" w:hAnsi="宋体" w:hint="eastAsia"/>
          <w:sz w:val="24"/>
        </w:rPr>
        <w:t>）中信期货有限公司</w:t>
      </w:r>
    </w:p>
    <w:p w14:paraId="31D74FE9" w14:textId="77777777" w:rsidR="008A6127" w:rsidRDefault="00437D9F">
      <w:pPr>
        <w:snapToGrid w:val="0"/>
        <w:spacing w:line="360" w:lineRule="auto"/>
        <w:ind w:firstLineChars="200" w:firstLine="480"/>
        <w:rPr>
          <w:rFonts w:ascii="宋体" w:hAnsi="宋体"/>
          <w:sz w:val="24"/>
        </w:rPr>
      </w:pPr>
      <w:r>
        <w:rPr>
          <w:rFonts w:ascii="宋体" w:hAnsi="宋体"/>
          <w:sz w:val="24"/>
        </w:rPr>
        <w:t>注册地址：深圳市福田区中心三路8号卓越时代广场（二期）北座13层 1301-1305室、14层</w:t>
      </w:r>
    </w:p>
    <w:p w14:paraId="2C216953" w14:textId="77777777" w:rsidR="008A6127" w:rsidRDefault="00437D9F">
      <w:pPr>
        <w:snapToGrid w:val="0"/>
        <w:spacing w:line="360" w:lineRule="auto"/>
        <w:ind w:firstLineChars="200" w:firstLine="480"/>
        <w:rPr>
          <w:rFonts w:ascii="宋体" w:hAnsi="宋体"/>
          <w:sz w:val="24"/>
        </w:rPr>
      </w:pPr>
      <w:r>
        <w:rPr>
          <w:rFonts w:ascii="宋体" w:hAnsi="宋体"/>
          <w:sz w:val="24"/>
        </w:rPr>
        <w:t>办公地址：深圳市福田区中心三路8号卓越时代广场（二期）北座13层 1301-1305 室、14 层</w:t>
      </w:r>
    </w:p>
    <w:p w14:paraId="18D25A2A" w14:textId="7768EE93" w:rsidR="008A6127" w:rsidRDefault="00437D9F">
      <w:pPr>
        <w:snapToGrid w:val="0"/>
        <w:spacing w:line="360" w:lineRule="auto"/>
        <w:ind w:firstLineChars="200" w:firstLine="480"/>
        <w:rPr>
          <w:rFonts w:ascii="宋体" w:hAnsi="宋体"/>
          <w:sz w:val="24"/>
        </w:rPr>
      </w:pPr>
      <w:r>
        <w:rPr>
          <w:rFonts w:ascii="宋体" w:hAnsi="宋体"/>
          <w:sz w:val="24"/>
        </w:rPr>
        <w:t>法定代表人</w:t>
      </w:r>
      <w:r>
        <w:rPr>
          <w:rFonts w:ascii="宋体" w:hAnsi="宋体" w:hint="eastAsia"/>
          <w:sz w:val="24"/>
        </w:rPr>
        <w:t>：</w:t>
      </w:r>
      <w:proofErr w:type="gramStart"/>
      <w:r>
        <w:rPr>
          <w:rFonts w:ascii="宋体" w:hAnsi="宋体" w:hint="eastAsia"/>
          <w:sz w:val="24"/>
        </w:rPr>
        <w:t>窦长宏</w:t>
      </w:r>
      <w:proofErr w:type="gramEnd"/>
    </w:p>
    <w:p w14:paraId="58D9BBE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400-990-8826</w:t>
      </w:r>
    </w:p>
    <w:p w14:paraId="340A3AB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网址：www.citicsf.com</w:t>
      </w:r>
    </w:p>
    <w:p w14:paraId="077ABE3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4</w:t>
      </w:r>
      <w:r>
        <w:rPr>
          <w:rFonts w:ascii="宋体" w:hAnsi="宋体" w:hint="eastAsia"/>
          <w:sz w:val="24"/>
        </w:rPr>
        <w:t>）中信证券华南股份有限公司</w:t>
      </w:r>
    </w:p>
    <w:p w14:paraId="0ADF3D7D" w14:textId="77777777" w:rsidR="008A6127" w:rsidRDefault="00437D9F">
      <w:pPr>
        <w:snapToGrid w:val="0"/>
        <w:spacing w:line="360" w:lineRule="auto"/>
        <w:ind w:firstLineChars="200" w:firstLine="480"/>
        <w:rPr>
          <w:rFonts w:ascii="宋体" w:hAnsi="宋体"/>
          <w:sz w:val="24"/>
        </w:rPr>
      </w:pPr>
      <w:r>
        <w:rPr>
          <w:rFonts w:ascii="宋体" w:hAnsi="宋体"/>
          <w:sz w:val="24"/>
        </w:rPr>
        <w:t>注册地址：</w:t>
      </w:r>
      <w:r>
        <w:rPr>
          <w:rFonts w:ascii="宋体" w:hAnsi="宋体" w:hint="eastAsia"/>
          <w:sz w:val="24"/>
        </w:rPr>
        <w:t>广州市天河区临江大道395号901室、1001室</w:t>
      </w:r>
    </w:p>
    <w:p w14:paraId="3146962A" w14:textId="77777777" w:rsidR="008A6127" w:rsidRDefault="00437D9F">
      <w:pPr>
        <w:snapToGrid w:val="0"/>
        <w:spacing w:line="360" w:lineRule="auto"/>
        <w:ind w:firstLineChars="200" w:firstLine="480"/>
        <w:rPr>
          <w:rFonts w:ascii="宋体" w:hAnsi="宋体"/>
          <w:sz w:val="24"/>
        </w:rPr>
      </w:pPr>
      <w:r>
        <w:rPr>
          <w:rFonts w:ascii="宋体" w:hAnsi="宋体"/>
          <w:sz w:val="24"/>
        </w:rPr>
        <w:t>办公地址：</w:t>
      </w:r>
      <w:r>
        <w:rPr>
          <w:rFonts w:ascii="宋体" w:hAnsi="宋体" w:hint="eastAsia"/>
          <w:sz w:val="24"/>
        </w:rPr>
        <w:t>广州市天河区临江大道395号合利天德广场T1座10楼</w:t>
      </w:r>
    </w:p>
    <w:p w14:paraId="7BFB941C" w14:textId="77777777" w:rsidR="008A6127" w:rsidRDefault="00437D9F">
      <w:pPr>
        <w:snapToGrid w:val="0"/>
        <w:spacing w:line="360" w:lineRule="auto"/>
        <w:ind w:firstLineChars="200" w:firstLine="480"/>
        <w:rPr>
          <w:rFonts w:ascii="宋体" w:hAnsi="宋体"/>
          <w:sz w:val="24"/>
        </w:rPr>
      </w:pPr>
      <w:r>
        <w:rPr>
          <w:rFonts w:ascii="宋体" w:hAnsi="宋体"/>
          <w:sz w:val="24"/>
        </w:rPr>
        <w:t>法定代表人：</w:t>
      </w:r>
      <w:r>
        <w:rPr>
          <w:rFonts w:ascii="宋体" w:hAnsi="宋体" w:hint="eastAsia"/>
          <w:sz w:val="24"/>
        </w:rPr>
        <w:t>陈可可</w:t>
      </w:r>
    </w:p>
    <w:p w14:paraId="7D6DE19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95396</w:t>
      </w:r>
    </w:p>
    <w:p w14:paraId="7B75568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网址：</w:t>
      </w:r>
      <w:hyperlink r:id="rId22" w:history="1">
        <w:r>
          <w:rPr>
            <w:rStyle w:val="afff2"/>
            <w:rFonts w:ascii="宋体" w:hAnsi="宋体"/>
            <w:sz w:val="24"/>
          </w:rPr>
          <w:t>www.gzs.com.cn</w:t>
        </w:r>
      </w:hyperlink>
    </w:p>
    <w:p w14:paraId="5F850A5A"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5</w:t>
      </w:r>
      <w:r>
        <w:rPr>
          <w:rFonts w:ascii="宋体" w:hAnsi="宋体" w:hint="eastAsia"/>
          <w:sz w:val="24"/>
        </w:rPr>
        <w:t>）北京汇成基金销售有限公司</w:t>
      </w:r>
    </w:p>
    <w:p w14:paraId="0DEAF70A"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注册地址：北京市西城区宣武门外大街甲1号4层401-2</w:t>
      </w:r>
    </w:p>
    <w:p w14:paraId="0A13F408"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办公地址：北京市西城区宣武门外大街甲1号</w:t>
      </w:r>
      <w:proofErr w:type="gramStart"/>
      <w:r>
        <w:rPr>
          <w:rFonts w:ascii="宋体" w:hAnsi="宋体" w:hint="eastAsia"/>
          <w:sz w:val="24"/>
        </w:rPr>
        <w:t>环球财讯中心</w:t>
      </w:r>
      <w:proofErr w:type="gramEnd"/>
      <w:r>
        <w:rPr>
          <w:rFonts w:ascii="宋体" w:hAnsi="宋体" w:hint="eastAsia"/>
          <w:sz w:val="24"/>
        </w:rPr>
        <w:t>D座4层</w:t>
      </w:r>
    </w:p>
    <w:p w14:paraId="3A858FA1"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法定代表人：王伟刚</w:t>
      </w:r>
    </w:p>
    <w:p w14:paraId="30E3DA39" w14:textId="0887358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客服电话：</w:t>
      </w:r>
      <w:r w:rsidR="002259B7" w:rsidRPr="002259B7">
        <w:rPr>
          <w:rFonts w:ascii="宋体" w:hAnsi="宋体"/>
          <w:sz w:val="24"/>
        </w:rPr>
        <w:t>010-63158805</w:t>
      </w:r>
    </w:p>
    <w:p w14:paraId="3037822B" w14:textId="44247241"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w:t>
      </w:r>
      <w:r w:rsidR="00520281" w:rsidRPr="00520281">
        <w:rPr>
          <w:rFonts w:ascii="宋体" w:hAnsi="宋体"/>
          <w:sz w:val="24"/>
        </w:rPr>
        <w:t>www.hcjijin.com</w:t>
      </w:r>
    </w:p>
    <w:p w14:paraId="5C896DB5"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6</w:t>
      </w:r>
      <w:r>
        <w:rPr>
          <w:rFonts w:ascii="宋体" w:hAnsi="宋体" w:hint="eastAsia"/>
          <w:sz w:val="24"/>
        </w:rPr>
        <w:t>）浙江同花</w:t>
      </w:r>
      <w:proofErr w:type="gramStart"/>
      <w:r>
        <w:rPr>
          <w:rFonts w:ascii="宋体" w:hAnsi="宋体" w:hint="eastAsia"/>
          <w:sz w:val="24"/>
        </w:rPr>
        <w:t>顺基金</w:t>
      </w:r>
      <w:proofErr w:type="gramEnd"/>
      <w:r>
        <w:rPr>
          <w:rFonts w:ascii="宋体" w:hAnsi="宋体" w:hint="eastAsia"/>
          <w:sz w:val="24"/>
        </w:rPr>
        <w:t>销售有限公司</w:t>
      </w:r>
    </w:p>
    <w:p w14:paraId="1F429A8A" w14:textId="072E37A8"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注册地址：</w:t>
      </w:r>
      <w:r w:rsidR="002259B7" w:rsidRPr="002259B7">
        <w:rPr>
          <w:rFonts w:ascii="宋体" w:hAnsi="宋体" w:hint="eastAsia"/>
          <w:sz w:val="24"/>
        </w:rPr>
        <w:t>浙江省杭州市余杭区五常街道同顺街18号401室</w:t>
      </w:r>
    </w:p>
    <w:p w14:paraId="592F552E"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办公地址：浙江省杭州市余杭区同顺街18号同花顺大楼</w:t>
      </w:r>
    </w:p>
    <w:p w14:paraId="07E3B6A2"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法定代表人：吴强</w:t>
      </w:r>
    </w:p>
    <w:p w14:paraId="45E20E10"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952555</w:t>
      </w:r>
    </w:p>
    <w:p w14:paraId="0C4251E9" w14:textId="1319EAB8"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w:t>
      </w:r>
      <w:r w:rsidR="002259B7">
        <w:rPr>
          <w:rFonts w:ascii="宋体" w:hAnsi="宋体" w:hint="eastAsia"/>
          <w:sz w:val="24"/>
        </w:rPr>
        <w:t>www.5ifund.com</w:t>
      </w:r>
      <w:r w:rsidR="002259B7" w:rsidDel="002259B7">
        <w:t xml:space="preserve"> </w:t>
      </w:r>
    </w:p>
    <w:p w14:paraId="674CFFCE"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7</w:t>
      </w:r>
      <w:r>
        <w:rPr>
          <w:rFonts w:ascii="宋体" w:hAnsi="宋体" w:hint="eastAsia"/>
          <w:sz w:val="24"/>
        </w:rPr>
        <w:t>）东方财富证券股份有限公司</w:t>
      </w:r>
    </w:p>
    <w:p w14:paraId="0FFE6977"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注册地址：西藏自治区拉萨市柳梧新区国际总部城10栋楼</w:t>
      </w:r>
    </w:p>
    <w:p w14:paraId="2E20B5BA"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lastRenderedPageBreak/>
        <w:t>办公地址：上海市徐汇区宛平南路88号东方财富大厦</w:t>
      </w:r>
    </w:p>
    <w:p w14:paraId="37E85C97"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 xml:space="preserve">法定代表人：戴彦 </w:t>
      </w:r>
    </w:p>
    <w:p w14:paraId="6834D349"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 xml:space="preserve">客服电话：95357 </w:t>
      </w:r>
    </w:p>
    <w:p w14:paraId="4D9A8DD5"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 http://www.18.cn</w:t>
      </w:r>
    </w:p>
    <w:p w14:paraId="3D3FF6F3"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8</w:t>
      </w:r>
      <w:r>
        <w:rPr>
          <w:rFonts w:ascii="宋体" w:hAnsi="宋体" w:hint="eastAsia"/>
          <w:sz w:val="24"/>
        </w:rPr>
        <w:t>）</w:t>
      </w:r>
      <w:proofErr w:type="gramStart"/>
      <w:r>
        <w:rPr>
          <w:rFonts w:ascii="宋体" w:hAnsi="宋体" w:hint="eastAsia"/>
          <w:sz w:val="24"/>
        </w:rPr>
        <w:t>腾安基金</w:t>
      </w:r>
      <w:proofErr w:type="gramEnd"/>
      <w:r>
        <w:rPr>
          <w:rFonts w:ascii="宋体" w:hAnsi="宋体" w:hint="eastAsia"/>
          <w:sz w:val="24"/>
        </w:rPr>
        <w:t>销售(深圳)有限公司</w:t>
      </w:r>
    </w:p>
    <w:p w14:paraId="59F1A88F" w14:textId="7E3A6C75" w:rsidR="008A6127" w:rsidRDefault="00437D9F">
      <w:pPr>
        <w:snapToGrid w:val="0"/>
        <w:spacing w:line="360" w:lineRule="auto"/>
        <w:ind w:firstLineChars="200" w:firstLine="480"/>
        <w:jc w:val="left"/>
        <w:rPr>
          <w:rFonts w:ascii="宋体" w:hAnsi="宋体"/>
          <w:sz w:val="24"/>
        </w:rPr>
      </w:pPr>
      <w:r>
        <w:rPr>
          <w:rFonts w:ascii="宋体" w:hAnsi="宋体" w:hint="eastAsia"/>
          <w:sz w:val="24"/>
        </w:rPr>
        <w:t xml:space="preserve">注册地址： </w:t>
      </w:r>
      <w:r w:rsidR="002259B7" w:rsidRPr="002259B7">
        <w:rPr>
          <w:rFonts w:ascii="宋体" w:hAnsi="宋体" w:hint="eastAsia"/>
          <w:sz w:val="24"/>
        </w:rPr>
        <w:t>深圳市前海深港合作区南山</w:t>
      </w:r>
      <w:proofErr w:type="gramStart"/>
      <w:r w:rsidR="002259B7" w:rsidRPr="002259B7">
        <w:rPr>
          <w:rFonts w:ascii="宋体" w:hAnsi="宋体" w:hint="eastAsia"/>
          <w:sz w:val="24"/>
        </w:rPr>
        <w:t>街道听海大道5212号腾讯数</w:t>
      </w:r>
      <w:proofErr w:type="gramEnd"/>
      <w:r w:rsidR="002259B7" w:rsidRPr="002259B7">
        <w:rPr>
          <w:rFonts w:ascii="宋体" w:hAnsi="宋体" w:hint="eastAsia"/>
          <w:sz w:val="24"/>
        </w:rPr>
        <w:t>码大厦2栋（南塔）L1401-L1501</w:t>
      </w:r>
    </w:p>
    <w:p w14:paraId="26DC5F73"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办公地址： 深圳市南山区海天二路</w:t>
      </w:r>
      <w:proofErr w:type="gramStart"/>
      <w:r>
        <w:rPr>
          <w:rFonts w:ascii="宋体" w:hAnsi="宋体" w:hint="eastAsia"/>
          <w:sz w:val="24"/>
        </w:rPr>
        <w:t>33号腾讯滨海</w:t>
      </w:r>
      <w:proofErr w:type="gramEnd"/>
      <w:r>
        <w:rPr>
          <w:rFonts w:ascii="宋体" w:hAnsi="宋体" w:hint="eastAsia"/>
          <w:sz w:val="24"/>
        </w:rPr>
        <w:t>大厦15楼</w:t>
      </w:r>
    </w:p>
    <w:p w14:paraId="6F468F06"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法定代表人：谭广锋</w:t>
      </w:r>
    </w:p>
    <w:p w14:paraId="00E9C7A1"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客服电话：4000-890-555</w:t>
      </w:r>
    </w:p>
    <w:p w14:paraId="239C1513"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w:t>
      </w:r>
      <w:hyperlink r:id="rId23" w:history="1">
        <w:r>
          <w:rPr>
            <w:rStyle w:val="afff2"/>
            <w:rFonts w:ascii="宋体" w:hAnsi="宋体" w:hint="eastAsia"/>
            <w:sz w:val="24"/>
          </w:rPr>
          <w:t>https://www.txfund.com/</w:t>
        </w:r>
      </w:hyperlink>
    </w:p>
    <w:p w14:paraId="35E14C7A"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9</w:t>
      </w:r>
      <w:r>
        <w:rPr>
          <w:rFonts w:ascii="宋体" w:hAnsi="宋体" w:hint="eastAsia"/>
          <w:sz w:val="24"/>
        </w:rPr>
        <w:t>）</w:t>
      </w:r>
      <w:r w:rsidRPr="002259B7">
        <w:rPr>
          <w:rFonts w:ascii="宋体" w:hAnsi="宋体" w:hint="eastAsia"/>
          <w:sz w:val="24"/>
        </w:rPr>
        <w:t>宁波银行股份有限公司</w:t>
      </w:r>
    </w:p>
    <w:p w14:paraId="1F3FA9BE"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注册地址：浙江省宁波市</w:t>
      </w:r>
      <w:proofErr w:type="gramStart"/>
      <w:r>
        <w:rPr>
          <w:rFonts w:ascii="宋体" w:hAnsi="宋体" w:hint="eastAsia"/>
          <w:sz w:val="24"/>
        </w:rPr>
        <w:t>鄞</w:t>
      </w:r>
      <w:proofErr w:type="gramEnd"/>
      <w:r>
        <w:rPr>
          <w:rFonts w:ascii="宋体" w:hAnsi="宋体" w:hint="eastAsia"/>
          <w:sz w:val="24"/>
        </w:rPr>
        <w:t>州区宁东路345号</w:t>
      </w:r>
    </w:p>
    <w:p w14:paraId="685FAFD8"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办公地址：浙江省宁波市</w:t>
      </w:r>
      <w:proofErr w:type="gramStart"/>
      <w:r>
        <w:rPr>
          <w:rFonts w:ascii="宋体" w:hAnsi="宋体" w:hint="eastAsia"/>
          <w:sz w:val="24"/>
        </w:rPr>
        <w:t>鄞</w:t>
      </w:r>
      <w:proofErr w:type="gramEnd"/>
      <w:r>
        <w:rPr>
          <w:rFonts w:ascii="宋体" w:hAnsi="宋体" w:hint="eastAsia"/>
          <w:sz w:val="24"/>
        </w:rPr>
        <w:t>州区宁东路345号</w:t>
      </w:r>
    </w:p>
    <w:p w14:paraId="39E9D8CC" w14:textId="225FBA25"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法定代表人：</w:t>
      </w:r>
      <w:proofErr w:type="gramStart"/>
      <w:r w:rsidR="002259B7" w:rsidRPr="002259B7">
        <w:rPr>
          <w:rFonts w:ascii="宋体" w:hAnsi="宋体" w:hint="eastAsia"/>
          <w:sz w:val="24"/>
        </w:rPr>
        <w:t>庄灵君</w:t>
      </w:r>
      <w:proofErr w:type="gramEnd"/>
    </w:p>
    <w:p w14:paraId="5B2ED017"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客服电话：95574</w:t>
      </w:r>
    </w:p>
    <w:p w14:paraId="2DF1F539"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 xml:space="preserve">网址： </w:t>
      </w:r>
      <w:hyperlink r:id="rId24" w:history="1">
        <w:r>
          <w:rPr>
            <w:rStyle w:val="afff2"/>
            <w:rFonts w:ascii="宋体" w:hAnsi="宋体" w:hint="eastAsia"/>
            <w:sz w:val="24"/>
          </w:rPr>
          <w:t>www.nbcb.com.cn</w:t>
        </w:r>
      </w:hyperlink>
    </w:p>
    <w:p w14:paraId="365950A4"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20</w:t>
      </w:r>
      <w:r>
        <w:rPr>
          <w:rFonts w:ascii="宋体" w:hAnsi="宋体" w:hint="eastAsia"/>
          <w:sz w:val="24"/>
        </w:rPr>
        <w:t>）</w:t>
      </w:r>
      <w:proofErr w:type="gramStart"/>
      <w:r>
        <w:rPr>
          <w:rFonts w:ascii="宋体" w:hAnsi="宋体" w:hint="eastAsia"/>
          <w:sz w:val="24"/>
        </w:rPr>
        <w:t>泰信财富</w:t>
      </w:r>
      <w:proofErr w:type="gramEnd"/>
      <w:r>
        <w:rPr>
          <w:rFonts w:ascii="宋体" w:hAnsi="宋体" w:hint="eastAsia"/>
          <w:sz w:val="24"/>
        </w:rPr>
        <w:t>基金销售有限公司</w:t>
      </w:r>
    </w:p>
    <w:p w14:paraId="1B77819E"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注册地址：北京市朝阳区</w:t>
      </w:r>
      <w:proofErr w:type="gramStart"/>
      <w:r>
        <w:rPr>
          <w:rFonts w:ascii="宋体" w:hAnsi="宋体" w:hint="eastAsia"/>
          <w:sz w:val="24"/>
        </w:rPr>
        <w:t>建国路乙118号</w:t>
      </w:r>
      <w:proofErr w:type="gramEnd"/>
      <w:r>
        <w:rPr>
          <w:rFonts w:ascii="宋体" w:hAnsi="宋体" w:hint="eastAsia"/>
          <w:sz w:val="24"/>
        </w:rPr>
        <w:t>10层1206</w:t>
      </w:r>
    </w:p>
    <w:p w14:paraId="52B43C4D"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办公地址：北京市朝阳区</w:t>
      </w:r>
      <w:proofErr w:type="gramStart"/>
      <w:r>
        <w:rPr>
          <w:rFonts w:ascii="宋体" w:hAnsi="宋体" w:hint="eastAsia"/>
          <w:sz w:val="24"/>
        </w:rPr>
        <w:t>建国路乙118号</w:t>
      </w:r>
      <w:proofErr w:type="gramEnd"/>
      <w:r>
        <w:rPr>
          <w:rFonts w:ascii="宋体" w:hAnsi="宋体" w:hint="eastAsia"/>
          <w:sz w:val="24"/>
        </w:rPr>
        <w:t>10层1206</w:t>
      </w:r>
    </w:p>
    <w:p w14:paraId="677A2EC3"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法定代表人：彭浩</w:t>
      </w:r>
    </w:p>
    <w:p w14:paraId="5560D20B" w14:textId="7453A7A0"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客服电话：</w:t>
      </w:r>
      <w:r w:rsidR="00A3227B" w:rsidRPr="00A3227B">
        <w:rPr>
          <w:rFonts w:ascii="宋体" w:hAnsi="宋体"/>
          <w:sz w:val="24"/>
        </w:rPr>
        <w:t>400-004-8821</w:t>
      </w:r>
    </w:p>
    <w:p w14:paraId="7E66DCB7"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w:t>
      </w:r>
      <w:hyperlink r:id="rId25" w:history="1">
        <w:r>
          <w:rPr>
            <w:rStyle w:val="afff2"/>
            <w:rFonts w:ascii="宋体" w:hAnsi="宋体"/>
            <w:sz w:val="24"/>
          </w:rPr>
          <w:t>www.taixincf.com</w:t>
        </w:r>
      </w:hyperlink>
    </w:p>
    <w:p w14:paraId="4B2E47D3"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21</w:t>
      </w:r>
      <w:r>
        <w:rPr>
          <w:rFonts w:ascii="宋体" w:hAnsi="宋体" w:hint="eastAsia"/>
          <w:sz w:val="24"/>
        </w:rPr>
        <w:t>）中</w:t>
      </w:r>
      <w:proofErr w:type="gramStart"/>
      <w:r>
        <w:rPr>
          <w:rFonts w:ascii="宋体" w:hAnsi="宋体" w:hint="eastAsia"/>
          <w:sz w:val="24"/>
        </w:rPr>
        <w:t>信建投证券</w:t>
      </w:r>
      <w:proofErr w:type="gramEnd"/>
      <w:r>
        <w:rPr>
          <w:rFonts w:ascii="宋体" w:hAnsi="宋体" w:hint="eastAsia"/>
          <w:sz w:val="24"/>
        </w:rPr>
        <w:t>股份有限公司</w:t>
      </w:r>
    </w:p>
    <w:p w14:paraId="4986407E"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注册地址：北京市朝阳区安立路66号4号楼</w:t>
      </w:r>
    </w:p>
    <w:p w14:paraId="3E650F9E" w14:textId="61AEB299" w:rsidR="008A6127" w:rsidRDefault="00437D9F">
      <w:pPr>
        <w:snapToGrid w:val="0"/>
        <w:spacing w:line="360" w:lineRule="auto"/>
        <w:ind w:firstLineChars="200" w:firstLine="480"/>
        <w:jc w:val="left"/>
        <w:rPr>
          <w:rFonts w:ascii="宋体" w:hAnsi="宋体"/>
          <w:sz w:val="24"/>
        </w:rPr>
      </w:pPr>
      <w:r>
        <w:rPr>
          <w:rFonts w:ascii="宋体" w:hAnsi="宋体" w:hint="eastAsia"/>
          <w:sz w:val="24"/>
        </w:rPr>
        <w:t>办公地址：</w:t>
      </w:r>
      <w:r w:rsidR="00085483" w:rsidRPr="00085483">
        <w:rPr>
          <w:rFonts w:ascii="宋体" w:hAnsi="宋体" w:hint="eastAsia"/>
          <w:sz w:val="24"/>
        </w:rPr>
        <w:t>北京市朝阳区光华路10号</w:t>
      </w:r>
    </w:p>
    <w:p w14:paraId="4615052D" w14:textId="06066FED" w:rsidR="008A6127" w:rsidRDefault="00437D9F">
      <w:pPr>
        <w:snapToGrid w:val="0"/>
        <w:spacing w:line="360" w:lineRule="auto"/>
        <w:ind w:firstLineChars="200" w:firstLine="480"/>
        <w:jc w:val="left"/>
        <w:rPr>
          <w:rFonts w:ascii="宋体" w:hAnsi="宋体"/>
          <w:sz w:val="24"/>
        </w:rPr>
      </w:pPr>
      <w:r>
        <w:rPr>
          <w:rFonts w:ascii="宋体" w:hAnsi="宋体" w:hint="eastAsia"/>
          <w:sz w:val="24"/>
        </w:rPr>
        <w:t>法定代表人：</w:t>
      </w:r>
      <w:r w:rsidR="00085483" w:rsidRPr="00085483">
        <w:rPr>
          <w:rFonts w:ascii="宋体" w:hAnsi="宋体" w:hint="eastAsia"/>
          <w:sz w:val="24"/>
        </w:rPr>
        <w:t>刘成</w:t>
      </w:r>
    </w:p>
    <w:p w14:paraId="2F7474F4"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客服电话：</w:t>
      </w:r>
      <w:r>
        <w:rPr>
          <w:rFonts w:ascii="宋体" w:hAnsi="宋体"/>
          <w:sz w:val="24"/>
        </w:rPr>
        <w:t>95587</w:t>
      </w:r>
    </w:p>
    <w:p w14:paraId="21B773CF"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w:t>
      </w:r>
      <w:hyperlink r:id="rId26" w:history="1">
        <w:r>
          <w:rPr>
            <w:rStyle w:val="afff2"/>
            <w:rFonts w:ascii="宋体" w:hAnsi="宋体"/>
            <w:sz w:val="24"/>
          </w:rPr>
          <w:t>www.csc108.com</w:t>
        </w:r>
      </w:hyperlink>
    </w:p>
    <w:p w14:paraId="15E28466"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2</w:t>
      </w:r>
      <w:r>
        <w:rPr>
          <w:rFonts w:ascii="宋体" w:hAnsi="宋体" w:hint="eastAsia"/>
          <w:sz w:val="24"/>
        </w:rPr>
        <w:t>）</w:t>
      </w:r>
      <w:r w:rsidRPr="002259B7">
        <w:rPr>
          <w:rFonts w:ascii="宋体" w:hAnsi="宋体" w:hint="eastAsia"/>
          <w:sz w:val="24"/>
        </w:rPr>
        <w:t>国投证券股份有限公司</w:t>
      </w:r>
    </w:p>
    <w:p w14:paraId="2DFDF960"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lastRenderedPageBreak/>
        <w:t>注册地址：深圳市福田区福田街道福华一路119号安信金融大厦</w:t>
      </w:r>
    </w:p>
    <w:p w14:paraId="035493D2"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办公地址：深圳市福田区福田街道福华一路119号安信金融大厦</w:t>
      </w:r>
    </w:p>
    <w:p w14:paraId="5EB79EC0" w14:textId="4000907E" w:rsidR="008A6127" w:rsidRDefault="00437D9F">
      <w:pPr>
        <w:snapToGrid w:val="0"/>
        <w:spacing w:line="360" w:lineRule="auto"/>
        <w:ind w:firstLineChars="200" w:firstLine="480"/>
        <w:jc w:val="left"/>
        <w:rPr>
          <w:rFonts w:ascii="宋体" w:hAnsi="宋体"/>
          <w:sz w:val="24"/>
        </w:rPr>
      </w:pPr>
      <w:r>
        <w:rPr>
          <w:rFonts w:ascii="宋体" w:hAnsi="宋体" w:hint="eastAsia"/>
          <w:sz w:val="24"/>
        </w:rPr>
        <w:t>法定代表人：</w:t>
      </w:r>
      <w:r w:rsidR="00085483" w:rsidRPr="00085483">
        <w:rPr>
          <w:rFonts w:ascii="宋体" w:hAnsi="宋体" w:hint="eastAsia"/>
          <w:sz w:val="24"/>
        </w:rPr>
        <w:t>王苏望</w:t>
      </w:r>
    </w:p>
    <w:p w14:paraId="4552262F"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客服电话：</w:t>
      </w:r>
      <w:r>
        <w:rPr>
          <w:rFonts w:ascii="宋体" w:hAnsi="宋体"/>
          <w:sz w:val="24"/>
        </w:rPr>
        <w:t>95517</w:t>
      </w:r>
    </w:p>
    <w:p w14:paraId="7B8FC245"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w:t>
      </w:r>
      <w:hyperlink r:id="rId27" w:history="1">
        <w:r>
          <w:rPr>
            <w:rStyle w:val="afff2"/>
            <w:rFonts w:ascii="宋体" w:hAnsi="宋体"/>
            <w:sz w:val="24"/>
          </w:rPr>
          <w:t>http://www.essence.com.cn/</w:t>
        </w:r>
      </w:hyperlink>
    </w:p>
    <w:p w14:paraId="4DB79443" w14:textId="77777777"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3</w:t>
      </w:r>
      <w:r>
        <w:rPr>
          <w:rFonts w:ascii="宋体" w:hAnsi="宋体" w:hint="eastAsia"/>
          <w:sz w:val="24"/>
        </w:rPr>
        <w:t>）开源证券股份有限公司</w:t>
      </w:r>
    </w:p>
    <w:p w14:paraId="16BFA39C"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注册地址：陕西省西安市高新区</w:t>
      </w:r>
      <w:proofErr w:type="gramStart"/>
      <w:r>
        <w:rPr>
          <w:rFonts w:ascii="宋体" w:hAnsi="宋体" w:hint="eastAsia"/>
          <w:sz w:val="24"/>
        </w:rPr>
        <w:t>锦业路1号</w:t>
      </w:r>
      <w:proofErr w:type="gramEnd"/>
      <w:r>
        <w:rPr>
          <w:rFonts w:ascii="宋体" w:hAnsi="宋体" w:hint="eastAsia"/>
          <w:sz w:val="24"/>
        </w:rPr>
        <w:t>都市之门B座5层</w:t>
      </w:r>
    </w:p>
    <w:p w14:paraId="50F46645"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办公地址：西安市高新区锦业一路2号陕西煤化工大厦1810室</w:t>
      </w:r>
    </w:p>
    <w:p w14:paraId="4B0453A9"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法定代表人：李刚</w:t>
      </w:r>
    </w:p>
    <w:p w14:paraId="000A5822" w14:textId="77777777" w:rsidR="008A6127" w:rsidRDefault="00437D9F">
      <w:pPr>
        <w:snapToGrid w:val="0"/>
        <w:spacing w:line="360" w:lineRule="auto"/>
        <w:ind w:firstLineChars="200" w:firstLine="480"/>
        <w:jc w:val="left"/>
        <w:rPr>
          <w:rFonts w:ascii="宋体" w:hAnsi="宋体"/>
          <w:sz w:val="24"/>
        </w:rPr>
      </w:pPr>
      <w:r>
        <w:rPr>
          <w:rFonts w:ascii="宋体" w:hAnsi="宋体" w:hint="eastAsia"/>
          <w:sz w:val="24"/>
        </w:rPr>
        <w:t>客服电话：</w:t>
      </w:r>
      <w:r>
        <w:rPr>
          <w:rFonts w:ascii="宋体" w:hAnsi="宋体"/>
          <w:sz w:val="24"/>
        </w:rPr>
        <w:t>95325</w:t>
      </w:r>
    </w:p>
    <w:p w14:paraId="27E3CCBF" w14:textId="0D93E7B0" w:rsidR="008A6127" w:rsidRDefault="00437D9F">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w:t>
      </w:r>
      <w:hyperlink r:id="rId28" w:history="1">
        <w:r w:rsidR="008520F9" w:rsidRPr="00A41D28">
          <w:rPr>
            <w:rStyle w:val="afff2"/>
            <w:rFonts w:ascii="宋体" w:hAnsi="宋体"/>
            <w:sz w:val="24"/>
          </w:rPr>
          <w:t>https://www.kysec.cn/</w:t>
        </w:r>
      </w:hyperlink>
    </w:p>
    <w:p w14:paraId="195C9AA1" w14:textId="56BA8D12" w:rsidR="008520F9" w:rsidRDefault="008520F9">
      <w:pPr>
        <w:autoSpaceDE w:val="0"/>
        <w:autoSpaceDN w:val="0"/>
        <w:adjustRightInd w:val="0"/>
        <w:snapToGrid w:val="0"/>
        <w:spacing w:line="360" w:lineRule="auto"/>
        <w:ind w:firstLineChars="200" w:firstLine="480"/>
        <w:rPr>
          <w:rFonts w:ascii="宋体" w:hAnsi="宋体"/>
          <w:sz w:val="24"/>
        </w:rPr>
      </w:pPr>
      <w:r w:rsidRPr="008520F9">
        <w:rPr>
          <w:rFonts w:ascii="宋体" w:hAnsi="宋体" w:hint="eastAsia"/>
          <w:sz w:val="24"/>
        </w:rPr>
        <w:t>（2</w:t>
      </w:r>
      <w:r w:rsidR="001F0A6E">
        <w:rPr>
          <w:rFonts w:ascii="宋体" w:hAnsi="宋体"/>
          <w:sz w:val="24"/>
        </w:rPr>
        <w:t>4</w:t>
      </w:r>
      <w:r w:rsidRPr="008520F9">
        <w:rPr>
          <w:rFonts w:ascii="宋体" w:hAnsi="宋体" w:hint="eastAsia"/>
          <w:sz w:val="24"/>
        </w:rPr>
        <w:t>）京东肯特瑞基金销售有限公司</w:t>
      </w:r>
    </w:p>
    <w:p w14:paraId="2E15BAFC" w14:textId="3579A7B0" w:rsidR="00A256B0" w:rsidRDefault="00A256B0" w:rsidP="00A256B0">
      <w:pPr>
        <w:snapToGrid w:val="0"/>
        <w:spacing w:line="360" w:lineRule="auto"/>
        <w:ind w:firstLineChars="200" w:firstLine="480"/>
        <w:jc w:val="left"/>
        <w:rPr>
          <w:rFonts w:ascii="宋体" w:hAnsi="宋体"/>
          <w:sz w:val="24"/>
        </w:rPr>
      </w:pPr>
      <w:r>
        <w:rPr>
          <w:rFonts w:ascii="宋体" w:hAnsi="宋体" w:hint="eastAsia"/>
          <w:sz w:val="24"/>
        </w:rPr>
        <w:t>注册地址：</w:t>
      </w:r>
      <w:r w:rsidRPr="00A256B0">
        <w:rPr>
          <w:rFonts w:ascii="宋体" w:hAnsi="宋体" w:hint="eastAsia"/>
          <w:sz w:val="24"/>
        </w:rPr>
        <w:t>北京市海淀区知春路76号（写字楼）1号楼4层1-7-2</w:t>
      </w:r>
    </w:p>
    <w:p w14:paraId="12B318D6" w14:textId="15736CC4" w:rsidR="00A256B0" w:rsidRDefault="00A256B0" w:rsidP="00A256B0">
      <w:pPr>
        <w:snapToGrid w:val="0"/>
        <w:spacing w:line="360" w:lineRule="auto"/>
        <w:ind w:firstLineChars="200" w:firstLine="480"/>
        <w:jc w:val="left"/>
        <w:rPr>
          <w:rFonts w:ascii="宋体" w:hAnsi="宋体"/>
          <w:sz w:val="24"/>
        </w:rPr>
      </w:pPr>
      <w:r>
        <w:rPr>
          <w:rFonts w:ascii="宋体" w:hAnsi="宋体" w:hint="eastAsia"/>
          <w:sz w:val="24"/>
        </w:rPr>
        <w:t>办公地址：</w:t>
      </w:r>
      <w:r w:rsidR="00625F00" w:rsidRPr="00625F00">
        <w:rPr>
          <w:rFonts w:ascii="宋体" w:hAnsi="宋体" w:hint="eastAsia"/>
          <w:sz w:val="24"/>
        </w:rPr>
        <w:t>北京市</w:t>
      </w:r>
      <w:proofErr w:type="gramStart"/>
      <w:r w:rsidR="00625F00" w:rsidRPr="00625F00">
        <w:rPr>
          <w:rFonts w:ascii="宋体" w:hAnsi="宋体" w:hint="eastAsia"/>
          <w:sz w:val="24"/>
        </w:rPr>
        <w:t>经济技术开发区科创十一</w:t>
      </w:r>
      <w:proofErr w:type="gramEnd"/>
      <w:r w:rsidR="00625F00" w:rsidRPr="00625F00">
        <w:rPr>
          <w:rFonts w:ascii="宋体" w:hAnsi="宋体" w:hint="eastAsia"/>
          <w:sz w:val="24"/>
        </w:rPr>
        <w:t>街京东总部2号楼</w:t>
      </w:r>
    </w:p>
    <w:p w14:paraId="7BCC818F" w14:textId="16880D26" w:rsidR="00A256B0" w:rsidRDefault="00A256B0" w:rsidP="00A256B0">
      <w:pPr>
        <w:snapToGrid w:val="0"/>
        <w:spacing w:line="360" w:lineRule="auto"/>
        <w:ind w:firstLineChars="200" w:firstLine="480"/>
        <w:jc w:val="left"/>
        <w:rPr>
          <w:rFonts w:ascii="宋体" w:hAnsi="宋体"/>
          <w:sz w:val="24"/>
        </w:rPr>
      </w:pPr>
      <w:r>
        <w:rPr>
          <w:rFonts w:ascii="宋体" w:hAnsi="宋体" w:hint="eastAsia"/>
          <w:sz w:val="24"/>
        </w:rPr>
        <w:t>法定代表人：</w:t>
      </w:r>
      <w:r w:rsidR="002259B7" w:rsidRPr="00B42B85">
        <w:rPr>
          <w:rFonts w:ascii="宋体" w:hAnsi="宋体" w:hint="eastAsia"/>
          <w:sz w:val="24"/>
        </w:rPr>
        <w:t>王珊珊</w:t>
      </w:r>
    </w:p>
    <w:p w14:paraId="6F935783" w14:textId="1692C420" w:rsidR="00A256B0" w:rsidRDefault="00A256B0" w:rsidP="00A256B0">
      <w:pPr>
        <w:snapToGrid w:val="0"/>
        <w:spacing w:line="360" w:lineRule="auto"/>
        <w:ind w:firstLineChars="200" w:firstLine="480"/>
        <w:jc w:val="left"/>
        <w:rPr>
          <w:rFonts w:ascii="宋体" w:hAnsi="宋体"/>
          <w:sz w:val="24"/>
        </w:rPr>
      </w:pPr>
      <w:r>
        <w:rPr>
          <w:rFonts w:ascii="宋体" w:hAnsi="宋体" w:hint="eastAsia"/>
          <w:sz w:val="24"/>
        </w:rPr>
        <w:t>客服电话：</w:t>
      </w:r>
      <w:r w:rsidR="00625F00" w:rsidRPr="00625F00">
        <w:rPr>
          <w:rFonts w:ascii="宋体" w:hAnsi="宋体"/>
          <w:sz w:val="24"/>
        </w:rPr>
        <w:t>95118</w:t>
      </w:r>
    </w:p>
    <w:p w14:paraId="4DC2DABB" w14:textId="0EF30A6A" w:rsidR="0012575D" w:rsidRDefault="00A256B0" w:rsidP="00A256B0">
      <w:pPr>
        <w:autoSpaceDE w:val="0"/>
        <w:autoSpaceDN w:val="0"/>
        <w:adjustRightInd w:val="0"/>
        <w:snapToGrid w:val="0"/>
        <w:spacing w:line="360" w:lineRule="auto"/>
        <w:ind w:firstLineChars="200" w:firstLine="480"/>
        <w:rPr>
          <w:rFonts w:ascii="宋体" w:hAnsi="宋体"/>
          <w:sz w:val="24"/>
        </w:rPr>
      </w:pPr>
      <w:r>
        <w:rPr>
          <w:rFonts w:ascii="宋体" w:hAnsi="宋体" w:hint="eastAsia"/>
          <w:sz w:val="24"/>
        </w:rPr>
        <w:t>网址：</w:t>
      </w:r>
      <w:hyperlink r:id="rId29" w:history="1">
        <w:r w:rsidR="00732904" w:rsidRPr="005C149A">
          <w:rPr>
            <w:rStyle w:val="afff2"/>
            <w:rFonts w:ascii="宋体" w:hAnsi="宋体"/>
            <w:sz w:val="24"/>
          </w:rPr>
          <w:t>http://kenterui.jd.com</w:t>
        </w:r>
      </w:hyperlink>
    </w:p>
    <w:p w14:paraId="3B88E91C" w14:textId="3841B140"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w:t>
      </w:r>
      <w:r w:rsidR="000341A9">
        <w:rPr>
          <w:rFonts w:ascii="宋体" w:hAnsi="宋体"/>
          <w:sz w:val="24"/>
        </w:rPr>
        <w:t>2</w:t>
      </w:r>
      <w:r w:rsidR="001635E8">
        <w:rPr>
          <w:rFonts w:ascii="宋体" w:hAnsi="宋体"/>
          <w:sz w:val="24"/>
        </w:rPr>
        <w:t>5</w:t>
      </w:r>
      <w:r w:rsidRPr="00732904">
        <w:rPr>
          <w:rFonts w:ascii="宋体" w:hAnsi="宋体" w:hint="eastAsia"/>
          <w:sz w:val="24"/>
        </w:rPr>
        <w:t>）</w:t>
      </w:r>
      <w:r w:rsidRPr="002259B7">
        <w:rPr>
          <w:rFonts w:ascii="宋体" w:hAnsi="宋体" w:hint="eastAsia"/>
          <w:sz w:val="24"/>
        </w:rPr>
        <w:t>国信证券股份有限公司</w:t>
      </w:r>
    </w:p>
    <w:p w14:paraId="0E63B0CA" w14:textId="77777777"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注册地址：深圳市罗湖区红岭中路1012号国信证券大厦十六层至二十六层</w:t>
      </w:r>
    </w:p>
    <w:p w14:paraId="2181F227" w14:textId="77777777"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办公地址：深圳市福田区福华一路125号国信金融大厦</w:t>
      </w:r>
    </w:p>
    <w:p w14:paraId="1133818F" w14:textId="77777777"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法定代表人：</w:t>
      </w:r>
      <w:proofErr w:type="gramStart"/>
      <w:r w:rsidRPr="00732904">
        <w:rPr>
          <w:rFonts w:ascii="宋体" w:hAnsi="宋体" w:hint="eastAsia"/>
          <w:sz w:val="24"/>
        </w:rPr>
        <w:t>张纳沙</w:t>
      </w:r>
      <w:proofErr w:type="gramEnd"/>
    </w:p>
    <w:p w14:paraId="7FFE180C" w14:textId="77777777"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客服电话：95536</w:t>
      </w:r>
    </w:p>
    <w:p w14:paraId="51ED810A" w14:textId="77777777"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网址：www.guosen.com.cn</w:t>
      </w:r>
    </w:p>
    <w:p w14:paraId="1F7C4011" w14:textId="44C22866"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w:t>
      </w:r>
      <w:r w:rsidR="001635E8">
        <w:rPr>
          <w:rFonts w:ascii="宋体" w:hAnsi="宋体"/>
          <w:sz w:val="24"/>
        </w:rPr>
        <w:t>26</w:t>
      </w:r>
      <w:r w:rsidRPr="00732904">
        <w:rPr>
          <w:rFonts w:ascii="宋体" w:hAnsi="宋体" w:hint="eastAsia"/>
          <w:sz w:val="24"/>
        </w:rPr>
        <w:t>）蚂蚁（杭州）基金销售有限公司</w:t>
      </w:r>
    </w:p>
    <w:p w14:paraId="7CB28112" w14:textId="77777777"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注册地址：浙江省杭州市余杭区五常街道文</w:t>
      </w:r>
      <w:proofErr w:type="gramStart"/>
      <w:r w:rsidRPr="00732904">
        <w:rPr>
          <w:rFonts w:ascii="宋体" w:hAnsi="宋体" w:hint="eastAsia"/>
          <w:sz w:val="24"/>
        </w:rPr>
        <w:t>一</w:t>
      </w:r>
      <w:proofErr w:type="gramEnd"/>
      <w:r w:rsidRPr="00732904">
        <w:rPr>
          <w:rFonts w:ascii="宋体" w:hAnsi="宋体" w:hint="eastAsia"/>
          <w:sz w:val="24"/>
        </w:rPr>
        <w:t>西路969号3幢5层599室</w:t>
      </w:r>
    </w:p>
    <w:p w14:paraId="670E98E1" w14:textId="77777777"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办公地址：浙江省杭州市余杭区五常街道文</w:t>
      </w:r>
      <w:proofErr w:type="gramStart"/>
      <w:r w:rsidRPr="00732904">
        <w:rPr>
          <w:rFonts w:ascii="宋体" w:hAnsi="宋体" w:hint="eastAsia"/>
          <w:sz w:val="24"/>
        </w:rPr>
        <w:t>一</w:t>
      </w:r>
      <w:proofErr w:type="gramEnd"/>
      <w:r w:rsidRPr="00732904">
        <w:rPr>
          <w:rFonts w:ascii="宋体" w:hAnsi="宋体" w:hint="eastAsia"/>
          <w:sz w:val="24"/>
        </w:rPr>
        <w:t>西路969号3幢5层599室</w:t>
      </w:r>
    </w:p>
    <w:p w14:paraId="360BEDFE" w14:textId="77777777"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法定代表人：王珺</w:t>
      </w:r>
    </w:p>
    <w:p w14:paraId="02B60597" w14:textId="77777777" w:rsidR="00732904" w:rsidRP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客服电话：95188</w:t>
      </w:r>
    </w:p>
    <w:p w14:paraId="4EB5E69E" w14:textId="4D1E9489" w:rsidR="00732904" w:rsidRDefault="00732904" w:rsidP="00732904">
      <w:pPr>
        <w:autoSpaceDE w:val="0"/>
        <w:autoSpaceDN w:val="0"/>
        <w:adjustRightInd w:val="0"/>
        <w:snapToGrid w:val="0"/>
        <w:spacing w:line="360" w:lineRule="auto"/>
        <w:ind w:firstLineChars="200" w:firstLine="480"/>
        <w:rPr>
          <w:rFonts w:ascii="宋体" w:hAnsi="宋体"/>
          <w:sz w:val="24"/>
        </w:rPr>
      </w:pPr>
      <w:r w:rsidRPr="00732904">
        <w:rPr>
          <w:rFonts w:ascii="宋体" w:hAnsi="宋体" w:hint="eastAsia"/>
          <w:sz w:val="24"/>
        </w:rPr>
        <w:t>网址：</w:t>
      </w:r>
      <w:hyperlink r:id="rId30" w:history="1">
        <w:r w:rsidR="00F613D6" w:rsidRPr="0030774C">
          <w:rPr>
            <w:rStyle w:val="afff2"/>
            <w:rFonts w:ascii="宋体" w:hAnsi="宋体" w:hint="eastAsia"/>
            <w:sz w:val="24"/>
          </w:rPr>
          <w:t>www.fund123.cn</w:t>
        </w:r>
      </w:hyperlink>
    </w:p>
    <w:p w14:paraId="5332ED62" w14:textId="77777777" w:rsidR="00F613D6" w:rsidRDefault="00F613D6" w:rsidP="00F613D6">
      <w:pPr>
        <w:snapToGrid w:val="0"/>
        <w:spacing w:line="360" w:lineRule="auto"/>
        <w:ind w:firstLineChars="200" w:firstLine="480"/>
        <w:jc w:val="left"/>
        <w:rPr>
          <w:rFonts w:ascii="宋体" w:hAnsi="宋体"/>
          <w:sz w:val="24"/>
        </w:rPr>
      </w:pPr>
      <w:r>
        <w:rPr>
          <w:rFonts w:ascii="宋体" w:hAnsi="宋体" w:hint="eastAsia"/>
          <w:sz w:val="24"/>
        </w:rPr>
        <w:t>（2</w:t>
      </w:r>
      <w:r>
        <w:rPr>
          <w:rFonts w:ascii="宋体" w:hAnsi="宋体"/>
          <w:sz w:val="24"/>
        </w:rPr>
        <w:t>7</w:t>
      </w:r>
      <w:r>
        <w:rPr>
          <w:rFonts w:ascii="宋体" w:hAnsi="宋体" w:hint="eastAsia"/>
          <w:sz w:val="24"/>
        </w:rPr>
        <w:t>）</w:t>
      </w:r>
      <w:r w:rsidRPr="00537F2C">
        <w:rPr>
          <w:rFonts w:ascii="宋体" w:hAnsi="宋体" w:hint="eastAsia"/>
          <w:sz w:val="24"/>
        </w:rPr>
        <w:t>上海利得基金销售有限公司</w:t>
      </w:r>
    </w:p>
    <w:p w14:paraId="63C9B2B3" w14:textId="77777777" w:rsidR="00F613D6" w:rsidRDefault="00F613D6" w:rsidP="00F613D6">
      <w:pPr>
        <w:snapToGrid w:val="0"/>
        <w:spacing w:line="360" w:lineRule="auto"/>
        <w:ind w:firstLineChars="200" w:firstLine="480"/>
        <w:rPr>
          <w:rFonts w:ascii="宋体" w:hAnsi="宋体"/>
          <w:sz w:val="24"/>
        </w:rPr>
      </w:pPr>
      <w:r>
        <w:rPr>
          <w:rFonts w:ascii="宋体" w:hAnsi="宋体" w:hint="eastAsia"/>
          <w:sz w:val="24"/>
        </w:rPr>
        <w:lastRenderedPageBreak/>
        <w:t>注册地址：</w:t>
      </w:r>
      <w:r w:rsidRPr="00537F2C">
        <w:rPr>
          <w:rFonts w:ascii="宋体" w:hAnsi="宋体" w:hint="eastAsia"/>
          <w:sz w:val="24"/>
        </w:rPr>
        <w:t>中国（上海）自由贸易试验区临港新片区海基六路70弄1号208-36室</w:t>
      </w:r>
    </w:p>
    <w:p w14:paraId="4BD95EA9" w14:textId="425AD341" w:rsidR="00F613D6" w:rsidRDefault="00F613D6" w:rsidP="00F613D6">
      <w:pPr>
        <w:snapToGrid w:val="0"/>
        <w:spacing w:line="360" w:lineRule="auto"/>
        <w:ind w:firstLineChars="200" w:firstLine="480"/>
        <w:rPr>
          <w:rFonts w:ascii="宋体" w:hAnsi="宋体"/>
          <w:sz w:val="24"/>
        </w:rPr>
      </w:pPr>
      <w:r>
        <w:rPr>
          <w:rFonts w:ascii="宋体" w:hAnsi="宋体" w:hint="eastAsia"/>
          <w:sz w:val="24"/>
        </w:rPr>
        <w:t>办公地址：</w:t>
      </w:r>
      <w:r w:rsidR="003E66F7" w:rsidRPr="003E66F7">
        <w:rPr>
          <w:rFonts w:ascii="宋体" w:hAnsi="宋体" w:hint="eastAsia"/>
          <w:sz w:val="24"/>
        </w:rPr>
        <w:t>上海市浦东新区</w:t>
      </w:r>
      <w:proofErr w:type="gramStart"/>
      <w:r w:rsidR="003E66F7" w:rsidRPr="003E66F7">
        <w:rPr>
          <w:rFonts w:ascii="宋体" w:hAnsi="宋体" w:hint="eastAsia"/>
          <w:sz w:val="24"/>
        </w:rPr>
        <w:t>世博大道1515号世</w:t>
      </w:r>
      <w:proofErr w:type="gramEnd"/>
      <w:r w:rsidR="003E66F7" w:rsidRPr="003E66F7">
        <w:rPr>
          <w:rFonts w:ascii="宋体" w:hAnsi="宋体" w:hint="eastAsia"/>
          <w:sz w:val="24"/>
        </w:rPr>
        <w:t>博天地写字楼T1栋17楼</w:t>
      </w:r>
    </w:p>
    <w:p w14:paraId="6D1146DE" w14:textId="77777777" w:rsidR="00F613D6" w:rsidRDefault="00F613D6" w:rsidP="00F613D6">
      <w:pPr>
        <w:snapToGrid w:val="0"/>
        <w:spacing w:line="360" w:lineRule="auto"/>
        <w:ind w:firstLineChars="200" w:firstLine="480"/>
        <w:rPr>
          <w:rFonts w:ascii="宋体" w:hAnsi="宋体"/>
          <w:sz w:val="24"/>
        </w:rPr>
      </w:pPr>
      <w:r>
        <w:rPr>
          <w:rFonts w:ascii="宋体" w:hAnsi="宋体" w:hint="eastAsia"/>
          <w:sz w:val="24"/>
        </w:rPr>
        <w:t>法定代表人：</w:t>
      </w:r>
      <w:r w:rsidRPr="00537F2C">
        <w:rPr>
          <w:rFonts w:ascii="宋体" w:hAnsi="宋体" w:hint="eastAsia"/>
          <w:sz w:val="24"/>
        </w:rPr>
        <w:t>贾志伟</w:t>
      </w:r>
    </w:p>
    <w:p w14:paraId="4AD8ABCF" w14:textId="77777777" w:rsidR="00F613D6" w:rsidRDefault="00F613D6" w:rsidP="00F613D6">
      <w:pPr>
        <w:snapToGrid w:val="0"/>
        <w:spacing w:line="360" w:lineRule="auto"/>
        <w:ind w:firstLineChars="200" w:firstLine="480"/>
        <w:rPr>
          <w:rFonts w:ascii="宋体" w:hAnsi="宋体"/>
          <w:sz w:val="24"/>
        </w:rPr>
      </w:pPr>
      <w:r>
        <w:rPr>
          <w:rFonts w:ascii="宋体" w:hAnsi="宋体" w:hint="eastAsia"/>
          <w:sz w:val="24"/>
        </w:rPr>
        <w:t>客服电话</w:t>
      </w:r>
      <w:r>
        <w:rPr>
          <w:rFonts w:ascii="宋体" w:hAnsi="宋体"/>
          <w:sz w:val="24"/>
        </w:rPr>
        <w:t>：</w:t>
      </w:r>
      <w:r w:rsidRPr="00537F2C">
        <w:rPr>
          <w:rFonts w:ascii="宋体" w:hAnsi="宋体"/>
          <w:sz w:val="24"/>
        </w:rPr>
        <w:t>400-820-9935</w:t>
      </w:r>
    </w:p>
    <w:p w14:paraId="652E7451" w14:textId="0239F2B9" w:rsidR="00F613D6" w:rsidRDefault="00F613D6" w:rsidP="00F613D6">
      <w:pPr>
        <w:autoSpaceDE w:val="0"/>
        <w:autoSpaceDN w:val="0"/>
        <w:adjustRightInd w:val="0"/>
        <w:snapToGrid w:val="0"/>
        <w:spacing w:line="360" w:lineRule="auto"/>
        <w:ind w:firstLineChars="200" w:firstLine="480"/>
      </w:pPr>
      <w:r>
        <w:rPr>
          <w:rFonts w:ascii="宋体" w:hAnsi="宋体"/>
          <w:sz w:val="24"/>
        </w:rPr>
        <w:t>网址：</w:t>
      </w:r>
      <w:hyperlink r:id="rId31" w:history="1">
        <w:r w:rsidR="003E66F7" w:rsidRPr="003341A2">
          <w:rPr>
            <w:rStyle w:val="afff2"/>
          </w:rPr>
          <w:t>www.leadfund.com.cn</w:t>
        </w:r>
      </w:hyperlink>
    </w:p>
    <w:p w14:paraId="179218BD" w14:textId="77777777" w:rsidR="003E66F7" w:rsidRDefault="003E66F7" w:rsidP="003E66F7">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8</w:t>
      </w:r>
      <w:r>
        <w:rPr>
          <w:rFonts w:ascii="宋体" w:hAnsi="宋体" w:hint="eastAsia"/>
          <w:sz w:val="24"/>
        </w:rPr>
        <w:t>）</w:t>
      </w:r>
      <w:r w:rsidRPr="00DB57D0">
        <w:rPr>
          <w:rFonts w:ascii="宋体" w:hAnsi="宋体" w:hint="eastAsia"/>
          <w:sz w:val="24"/>
        </w:rPr>
        <w:t>平安银行股份有限公司</w:t>
      </w:r>
    </w:p>
    <w:p w14:paraId="5ACBBA9D" w14:textId="77777777" w:rsidR="003E66F7" w:rsidRPr="000B40EF" w:rsidRDefault="003E66F7" w:rsidP="003E66F7">
      <w:pPr>
        <w:snapToGrid w:val="0"/>
        <w:spacing w:line="360" w:lineRule="auto"/>
        <w:ind w:firstLineChars="200" w:firstLine="480"/>
        <w:rPr>
          <w:rFonts w:ascii="宋体" w:hAnsi="宋体"/>
          <w:sz w:val="24"/>
        </w:rPr>
      </w:pPr>
      <w:r w:rsidRPr="000B40EF">
        <w:rPr>
          <w:rFonts w:ascii="宋体" w:hAnsi="宋体" w:hint="eastAsia"/>
          <w:sz w:val="24"/>
        </w:rPr>
        <w:t>注册地址：</w:t>
      </w:r>
      <w:r w:rsidRPr="00DB57D0">
        <w:rPr>
          <w:rFonts w:ascii="宋体" w:hAnsi="宋体" w:hint="eastAsia"/>
          <w:sz w:val="24"/>
        </w:rPr>
        <w:t>深圳市罗湖区深南东路5047号</w:t>
      </w:r>
    </w:p>
    <w:p w14:paraId="54C2FC77" w14:textId="77777777" w:rsidR="003E66F7" w:rsidRPr="000B40EF" w:rsidRDefault="003E66F7" w:rsidP="003E66F7">
      <w:pPr>
        <w:snapToGrid w:val="0"/>
        <w:spacing w:line="360" w:lineRule="auto"/>
        <w:ind w:firstLineChars="200" w:firstLine="480"/>
        <w:rPr>
          <w:rFonts w:ascii="宋体" w:hAnsi="宋体"/>
          <w:sz w:val="24"/>
        </w:rPr>
      </w:pPr>
      <w:r w:rsidRPr="000B40EF">
        <w:rPr>
          <w:rFonts w:ascii="宋体" w:hAnsi="宋体" w:hint="eastAsia"/>
          <w:sz w:val="24"/>
        </w:rPr>
        <w:t>办公地址：</w:t>
      </w:r>
      <w:r w:rsidRPr="00DB57D0">
        <w:rPr>
          <w:rFonts w:ascii="宋体" w:hAnsi="宋体" w:hint="eastAsia"/>
          <w:sz w:val="24"/>
        </w:rPr>
        <w:t>深圳市罗湖区深南东路5047号</w:t>
      </w:r>
    </w:p>
    <w:p w14:paraId="575C3C7E" w14:textId="77777777" w:rsidR="003E66F7" w:rsidRPr="000B40EF" w:rsidRDefault="003E66F7" w:rsidP="003E66F7">
      <w:pPr>
        <w:snapToGrid w:val="0"/>
        <w:spacing w:line="360" w:lineRule="auto"/>
        <w:ind w:firstLineChars="200" w:firstLine="480"/>
        <w:rPr>
          <w:rFonts w:ascii="宋体" w:hAnsi="宋体"/>
          <w:sz w:val="24"/>
        </w:rPr>
      </w:pPr>
      <w:r w:rsidRPr="000B40EF">
        <w:rPr>
          <w:rFonts w:ascii="宋体" w:hAnsi="宋体" w:hint="eastAsia"/>
          <w:sz w:val="24"/>
        </w:rPr>
        <w:t>法定代表人：</w:t>
      </w:r>
      <w:r w:rsidRPr="00DB57D0">
        <w:rPr>
          <w:rFonts w:ascii="宋体" w:hAnsi="宋体" w:hint="eastAsia"/>
          <w:sz w:val="24"/>
        </w:rPr>
        <w:t>谢永林</w:t>
      </w:r>
    </w:p>
    <w:p w14:paraId="088990C2" w14:textId="77777777" w:rsidR="003E66F7" w:rsidRPr="000B40EF" w:rsidRDefault="003E66F7" w:rsidP="003E66F7">
      <w:pPr>
        <w:snapToGrid w:val="0"/>
        <w:spacing w:line="360" w:lineRule="auto"/>
        <w:ind w:firstLineChars="200" w:firstLine="480"/>
        <w:rPr>
          <w:rFonts w:ascii="宋体" w:hAnsi="宋体"/>
          <w:sz w:val="24"/>
        </w:rPr>
      </w:pPr>
      <w:r w:rsidRPr="000B40EF">
        <w:rPr>
          <w:rFonts w:ascii="宋体" w:hAnsi="宋体" w:hint="eastAsia"/>
          <w:sz w:val="24"/>
        </w:rPr>
        <w:t>客服电话：</w:t>
      </w:r>
      <w:r w:rsidRPr="00DB57D0">
        <w:rPr>
          <w:rFonts w:ascii="宋体" w:hAnsi="宋体"/>
          <w:sz w:val="24"/>
        </w:rPr>
        <w:t>95511</w:t>
      </w:r>
    </w:p>
    <w:p w14:paraId="208313EE" w14:textId="77777777" w:rsidR="003E66F7" w:rsidRDefault="003E66F7" w:rsidP="003E66F7">
      <w:pPr>
        <w:snapToGrid w:val="0"/>
        <w:spacing w:line="360" w:lineRule="auto"/>
        <w:ind w:firstLineChars="200" w:firstLine="480"/>
        <w:rPr>
          <w:rFonts w:ascii="宋体" w:hAnsi="宋体"/>
          <w:sz w:val="24"/>
        </w:rPr>
      </w:pPr>
      <w:r w:rsidRPr="000B40EF">
        <w:rPr>
          <w:rFonts w:ascii="宋体" w:hAnsi="宋体" w:hint="eastAsia"/>
          <w:sz w:val="24"/>
        </w:rPr>
        <w:t>网址：</w:t>
      </w:r>
      <w:r w:rsidRPr="00DB57D0">
        <w:rPr>
          <w:rFonts w:ascii="宋体" w:hAnsi="宋体"/>
          <w:sz w:val="24"/>
        </w:rPr>
        <w:t>https://bank.pingan.com/</w:t>
      </w:r>
    </w:p>
    <w:p w14:paraId="11EC93EA" w14:textId="1BD9BC45" w:rsidR="003E66F7" w:rsidRPr="003E66F7" w:rsidRDefault="003E66F7" w:rsidP="00F613D6">
      <w:pPr>
        <w:autoSpaceDE w:val="0"/>
        <w:autoSpaceDN w:val="0"/>
        <w:adjustRightInd w:val="0"/>
        <w:snapToGrid w:val="0"/>
        <w:spacing w:line="360" w:lineRule="auto"/>
        <w:ind w:firstLineChars="200" w:firstLine="480"/>
        <w:rPr>
          <w:rFonts w:ascii="宋体" w:hAnsi="宋体"/>
          <w:sz w:val="24"/>
        </w:rPr>
      </w:pPr>
    </w:p>
    <w:p w14:paraId="512418F4" w14:textId="77777777" w:rsidR="008A6127" w:rsidRDefault="00437D9F">
      <w:pPr>
        <w:autoSpaceDE w:val="0"/>
        <w:autoSpaceDN w:val="0"/>
        <w:adjustRightInd w:val="0"/>
        <w:snapToGrid w:val="0"/>
        <w:spacing w:line="360" w:lineRule="auto"/>
        <w:ind w:firstLineChars="200" w:firstLine="482"/>
        <w:rPr>
          <w:rFonts w:ascii="宋体" w:hAnsi="宋体"/>
          <w:b/>
          <w:bCs/>
          <w:kern w:val="0"/>
          <w:sz w:val="24"/>
        </w:rPr>
      </w:pPr>
      <w:r>
        <w:rPr>
          <w:rFonts w:ascii="宋体" w:hAnsi="宋体" w:hint="eastAsia"/>
          <w:b/>
          <w:bCs/>
          <w:kern w:val="0"/>
          <w:sz w:val="24"/>
        </w:rPr>
        <w:t>（二）登记机构</w:t>
      </w:r>
    </w:p>
    <w:p w14:paraId="70DE1F5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名称：</w:t>
      </w:r>
      <w:r>
        <w:rPr>
          <w:rFonts w:ascii="宋体" w:hAnsi="宋体"/>
          <w:sz w:val="24"/>
        </w:rPr>
        <w:t>朱雀基金管理有限公司</w:t>
      </w:r>
    </w:p>
    <w:p w14:paraId="1464DFC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住所</w:t>
      </w:r>
      <w:r>
        <w:rPr>
          <w:rFonts w:ascii="宋体" w:hAnsi="宋体"/>
          <w:sz w:val="24"/>
        </w:rPr>
        <w:t>：</w:t>
      </w:r>
      <w:r>
        <w:rPr>
          <w:rFonts w:ascii="宋体" w:hAnsi="宋体" w:hint="eastAsia"/>
          <w:sz w:val="24"/>
        </w:rPr>
        <w:t>西安经济技术开发区草滩生态产业园尚</w:t>
      </w:r>
      <w:proofErr w:type="gramStart"/>
      <w:r>
        <w:rPr>
          <w:rFonts w:ascii="宋体" w:hAnsi="宋体" w:hint="eastAsia"/>
          <w:sz w:val="24"/>
        </w:rPr>
        <w:t>稷</w:t>
      </w:r>
      <w:proofErr w:type="gramEnd"/>
      <w:r>
        <w:rPr>
          <w:rFonts w:ascii="宋体" w:hAnsi="宋体" w:hint="eastAsia"/>
          <w:sz w:val="24"/>
        </w:rPr>
        <w:t>路8号一栋二楼</w:t>
      </w:r>
    </w:p>
    <w:p w14:paraId="7CEA0F0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办公地址：上海市浦东新区海阳西路555号前</w:t>
      </w:r>
      <w:proofErr w:type="gramStart"/>
      <w:r>
        <w:rPr>
          <w:rFonts w:ascii="宋体" w:hAnsi="宋体" w:hint="eastAsia"/>
          <w:sz w:val="24"/>
        </w:rPr>
        <w:t>滩中心</w:t>
      </w:r>
      <w:proofErr w:type="gramEnd"/>
      <w:r>
        <w:rPr>
          <w:rFonts w:ascii="宋体" w:hAnsi="宋体" w:hint="eastAsia"/>
          <w:sz w:val="24"/>
        </w:rPr>
        <w:t>58层</w:t>
      </w:r>
    </w:p>
    <w:p w14:paraId="3A4FD77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法定代表人：梁跃军</w:t>
      </w:r>
    </w:p>
    <w:p w14:paraId="240A9CC5" w14:textId="77777777" w:rsidR="008A6127" w:rsidRDefault="00437D9F">
      <w:pPr>
        <w:snapToGrid w:val="0"/>
        <w:spacing w:line="360" w:lineRule="auto"/>
        <w:ind w:firstLineChars="200" w:firstLine="480"/>
        <w:rPr>
          <w:rFonts w:ascii="宋体" w:hAnsi="宋体"/>
          <w:sz w:val="24"/>
        </w:rPr>
      </w:pPr>
      <w:r>
        <w:rPr>
          <w:rFonts w:ascii="宋体" w:hAnsi="宋体"/>
          <w:sz w:val="24"/>
        </w:rPr>
        <w:t>电话：021-20305888</w:t>
      </w:r>
    </w:p>
    <w:p w14:paraId="462CFA8C" w14:textId="77777777" w:rsidR="008A6127" w:rsidRDefault="00437D9F">
      <w:pPr>
        <w:snapToGrid w:val="0"/>
        <w:spacing w:line="360" w:lineRule="auto"/>
        <w:ind w:firstLineChars="200" w:firstLine="480"/>
        <w:rPr>
          <w:rFonts w:ascii="宋体" w:hAnsi="宋体"/>
          <w:sz w:val="24"/>
        </w:rPr>
      </w:pPr>
      <w:r>
        <w:rPr>
          <w:rFonts w:ascii="宋体" w:hAnsi="宋体"/>
          <w:sz w:val="24"/>
        </w:rPr>
        <w:t>传真：021-20305999</w:t>
      </w:r>
    </w:p>
    <w:p w14:paraId="4694A38D" w14:textId="77777777" w:rsidR="008A6127" w:rsidRDefault="00437D9F">
      <w:pPr>
        <w:snapToGrid w:val="0"/>
        <w:spacing w:line="360" w:lineRule="auto"/>
        <w:ind w:firstLineChars="200" w:firstLine="480"/>
        <w:rPr>
          <w:rFonts w:ascii="宋体" w:hAnsi="宋体"/>
          <w:sz w:val="24"/>
        </w:rPr>
      </w:pPr>
      <w:r>
        <w:rPr>
          <w:rFonts w:ascii="宋体" w:hAnsi="宋体"/>
          <w:sz w:val="24"/>
        </w:rPr>
        <w:t>联系人：</w:t>
      </w:r>
      <w:r>
        <w:rPr>
          <w:rFonts w:ascii="宋体" w:hAnsi="宋体" w:hint="eastAsia"/>
          <w:sz w:val="24"/>
        </w:rPr>
        <w:t xml:space="preserve">樊安 </w:t>
      </w:r>
    </w:p>
    <w:p w14:paraId="4F533821" w14:textId="77777777" w:rsidR="008A6127" w:rsidRDefault="00437D9F">
      <w:pPr>
        <w:tabs>
          <w:tab w:val="left" w:pos="840"/>
        </w:tabs>
        <w:adjustRightInd w:val="0"/>
        <w:snapToGrid w:val="0"/>
        <w:spacing w:line="360" w:lineRule="auto"/>
        <w:ind w:firstLineChars="200" w:firstLine="482"/>
        <w:rPr>
          <w:rFonts w:ascii="宋体" w:hAnsi="宋体"/>
          <w:b/>
          <w:bCs/>
          <w:sz w:val="24"/>
        </w:rPr>
      </w:pPr>
      <w:r>
        <w:rPr>
          <w:rFonts w:ascii="宋体" w:hAnsi="宋体" w:hint="eastAsia"/>
          <w:b/>
          <w:bCs/>
          <w:sz w:val="24"/>
        </w:rPr>
        <w:t>（三）出具法律意见书的律师事务所</w:t>
      </w:r>
    </w:p>
    <w:p w14:paraId="469D370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名称：国浩律师（上海）事务所</w:t>
      </w:r>
    </w:p>
    <w:p w14:paraId="18542C95" w14:textId="5E18D8B4" w:rsidR="008A6127" w:rsidRDefault="00437D9F">
      <w:pPr>
        <w:snapToGrid w:val="0"/>
        <w:spacing w:line="360" w:lineRule="auto"/>
        <w:ind w:firstLineChars="200" w:firstLine="480"/>
        <w:rPr>
          <w:rFonts w:ascii="宋体" w:hAnsi="宋体"/>
          <w:sz w:val="24"/>
        </w:rPr>
      </w:pPr>
      <w:r>
        <w:rPr>
          <w:rFonts w:ascii="宋体" w:hAnsi="宋体" w:hint="eastAsia"/>
          <w:sz w:val="24"/>
        </w:rPr>
        <w:t>住所：</w:t>
      </w:r>
      <w:r w:rsidR="003049AB" w:rsidRPr="003049AB">
        <w:rPr>
          <w:rFonts w:ascii="宋体" w:hAnsi="宋体" w:hint="eastAsia"/>
          <w:sz w:val="24"/>
        </w:rPr>
        <w:t>上海市山西北路99号苏河湾中心25-28楼</w:t>
      </w:r>
    </w:p>
    <w:p w14:paraId="703F1656" w14:textId="03CC8B82" w:rsidR="008A6127" w:rsidRDefault="00437D9F">
      <w:pPr>
        <w:snapToGrid w:val="0"/>
        <w:spacing w:line="360" w:lineRule="auto"/>
        <w:ind w:firstLineChars="200" w:firstLine="480"/>
        <w:rPr>
          <w:rFonts w:ascii="宋体" w:hAnsi="宋体"/>
          <w:sz w:val="24"/>
        </w:rPr>
      </w:pPr>
      <w:r>
        <w:rPr>
          <w:rFonts w:ascii="宋体" w:hAnsi="宋体" w:hint="eastAsia"/>
          <w:sz w:val="24"/>
        </w:rPr>
        <w:t>办公地址：</w:t>
      </w:r>
      <w:r w:rsidR="003049AB" w:rsidRPr="003049AB">
        <w:rPr>
          <w:rFonts w:ascii="宋体" w:hAnsi="宋体" w:hint="eastAsia"/>
          <w:sz w:val="24"/>
        </w:rPr>
        <w:t>上海市山西北路99号苏河湾中心25-28楼</w:t>
      </w:r>
    </w:p>
    <w:p w14:paraId="3F48C2A6" w14:textId="5910BBF0" w:rsidR="008A6127" w:rsidRDefault="00437D9F">
      <w:pPr>
        <w:snapToGrid w:val="0"/>
        <w:spacing w:line="360" w:lineRule="auto"/>
        <w:ind w:firstLineChars="200" w:firstLine="480"/>
        <w:rPr>
          <w:rFonts w:ascii="宋体" w:hAnsi="宋体"/>
          <w:sz w:val="24"/>
        </w:rPr>
      </w:pPr>
      <w:r>
        <w:rPr>
          <w:rFonts w:ascii="宋体" w:hAnsi="宋体" w:hint="eastAsia"/>
          <w:sz w:val="24"/>
        </w:rPr>
        <w:t>负责人：</w:t>
      </w:r>
      <w:r w:rsidR="003049AB" w:rsidRPr="003049AB">
        <w:rPr>
          <w:rFonts w:ascii="宋体" w:hAnsi="宋体" w:hint="eastAsia"/>
          <w:sz w:val="24"/>
        </w:rPr>
        <w:t>徐晨</w:t>
      </w:r>
    </w:p>
    <w:p w14:paraId="6560393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电话：</w:t>
      </w:r>
      <w:r>
        <w:rPr>
          <w:rFonts w:ascii="宋体" w:hAnsi="宋体"/>
          <w:sz w:val="24"/>
        </w:rPr>
        <w:t>021-52341668</w:t>
      </w:r>
    </w:p>
    <w:p w14:paraId="3780B85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传真：</w:t>
      </w:r>
      <w:r>
        <w:rPr>
          <w:rFonts w:ascii="宋体" w:hAnsi="宋体"/>
          <w:sz w:val="24"/>
        </w:rPr>
        <w:t>021-52343320</w:t>
      </w:r>
    </w:p>
    <w:p w14:paraId="602BEF7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经办律师：</w:t>
      </w:r>
      <w:proofErr w:type="gramStart"/>
      <w:r>
        <w:rPr>
          <w:rFonts w:ascii="宋体" w:hAnsi="宋体" w:hint="eastAsia"/>
          <w:sz w:val="24"/>
        </w:rPr>
        <w:t>宣伟华</w:t>
      </w:r>
      <w:proofErr w:type="gramEnd"/>
      <w:r>
        <w:rPr>
          <w:rFonts w:ascii="宋体" w:hAnsi="宋体" w:hint="eastAsia"/>
          <w:sz w:val="24"/>
        </w:rPr>
        <w:t>、周蕾</w:t>
      </w:r>
      <w:r>
        <w:rPr>
          <w:rFonts w:ascii="宋体" w:hAnsi="宋体"/>
          <w:sz w:val="24"/>
        </w:rPr>
        <w:t xml:space="preserve"> </w:t>
      </w:r>
    </w:p>
    <w:p w14:paraId="108F761D" w14:textId="77777777" w:rsidR="008A6127" w:rsidRDefault="00437D9F">
      <w:pPr>
        <w:autoSpaceDE w:val="0"/>
        <w:autoSpaceDN w:val="0"/>
        <w:adjustRightInd w:val="0"/>
        <w:snapToGrid w:val="0"/>
        <w:spacing w:line="360" w:lineRule="auto"/>
        <w:ind w:firstLineChars="200" w:firstLine="482"/>
        <w:rPr>
          <w:rFonts w:ascii="宋体" w:hAnsi="宋体"/>
          <w:b/>
          <w:bCs/>
          <w:kern w:val="0"/>
          <w:sz w:val="24"/>
        </w:rPr>
      </w:pPr>
      <w:r>
        <w:rPr>
          <w:rFonts w:ascii="宋体" w:hAnsi="宋体" w:hint="eastAsia"/>
          <w:b/>
          <w:bCs/>
          <w:kern w:val="0"/>
          <w:sz w:val="24"/>
        </w:rPr>
        <w:t>（四）审计基金财产的会计师事务所</w:t>
      </w:r>
    </w:p>
    <w:p w14:paraId="19C9F89F" w14:textId="77777777" w:rsidR="002B3A8E" w:rsidRPr="002B3A8E" w:rsidRDefault="002B3A8E" w:rsidP="002B3A8E">
      <w:pPr>
        <w:autoSpaceDE w:val="0"/>
        <w:autoSpaceDN w:val="0"/>
        <w:adjustRightInd w:val="0"/>
        <w:snapToGrid w:val="0"/>
        <w:spacing w:line="360" w:lineRule="auto"/>
        <w:ind w:firstLineChars="200" w:firstLine="480"/>
        <w:rPr>
          <w:rFonts w:ascii="宋体" w:hAnsi="宋体"/>
          <w:sz w:val="24"/>
        </w:rPr>
      </w:pPr>
      <w:r w:rsidRPr="002B3A8E">
        <w:rPr>
          <w:rFonts w:ascii="宋体" w:hAnsi="宋体" w:hint="eastAsia"/>
          <w:sz w:val="24"/>
        </w:rPr>
        <w:lastRenderedPageBreak/>
        <w:t>名称：</w:t>
      </w:r>
      <w:proofErr w:type="gramStart"/>
      <w:r w:rsidRPr="002B3A8E">
        <w:rPr>
          <w:rFonts w:ascii="宋体" w:hAnsi="宋体" w:hint="eastAsia"/>
          <w:sz w:val="24"/>
        </w:rPr>
        <w:t>信永中和</w:t>
      </w:r>
      <w:proofErr w:type="gramEnd"/>
      <w:r w:rsidRPr="002B3A8E">
        <w:rPr>
          <w:rFonts w:ascii="宋体" w:hAnsi="宋体" w:hint="eastAsia"/>
          <w:sz w:val="24"/>
        </w:rPr>
        <w:t>会计师事务所（特殊普通合伙）</w:t>
      </w:r>
    </w:p>
    <w:p w14:paraId="7453BE54" w14:textId="77777777" w:rsidR="002B3A8E" w:rsidRPr="002B3A8E" w:rsidRDefault="002B3A8E" w:rsidP="002B3A8E">
      <w:pPr>
        <w:autoSpaceDE w:val="0"/>
        <w:autoSpaceDN w:val="0"/>
        <w:adjustRightInd w:val="0"/>
        <w:snapToGrid w:val="0"/>
        <w:spacing w:line="360" w:lineRule="auto"/>
        <w:ind w:firstLineChars="200" w:firstLine="480"/>
        <w:rPr>
          <w:rFonts w:ascii="宋体" w:hAnsi="宋体"/>
          <w:sz w:val="24"/>
        </w:rPr>
      </w:pPr>
      <w:r w:rsidRPr="002B3A8E">
        <w:rPr>
          <w:rFonts w:ascii="宋体" w:hAnsi="宋体" w:hint="eastAsia"/>
          <w:sz w:val="24"/>
        </w:rPr>
        <w:t>住所：北京市东城区朝阳门北大街8号富华大厦A座8层</w:t>
      </w:r>
    </w:p>
    <w:p w14:paraId="4BB9A329" w14:textId="77777777" w:rsidR="002B3A8E" w:rsidRPr="002B3A8E" w:rsidRDefault="002B3A8E" w:rsidP="002B3A8E">
      <w:pPr>
        <w:autoSpaceDE w:val="0"/>
        <w:autoSpaceDN w:val="0"/>
        <w:adjustRightInd w:val="0"/>
        <w:snapToGrid w:val="0"/>
        <w:spacing w:line="360" w:lineRule="auto"/>
        <w:ind w:firstLineChars="200" w:firstLine="480"/>
        <w:rPr>
          <w:rFonts w:ascii="宋体" w:hAnsi="宋体"/>
          <w:sz w:val="24"/>
        </w:rPr>
      </w:pPr>
      <w:r w:rsidRPr="002B3A8E">
        <w:rPr>
          <w:rFonts w:ascii="宋体" w:hAnsi="宋体" w:hint="eastAsia"/>
          <w:sz w:val="24"/>
        </w:rPr>
        <w:t>办公地址：北京市东城区朝阳门北大街8号富华大厦A座8层</w:t>
      </w:r>
    </w:p>
    <w:p w14:paraId="2BB54578" w14:textId="77777777" w:rsidR="002B3A8E" w:rsidRPr="002B3A8E" w:rsidRDefault="002B3A8E" w:rsidP="002B3A8E">
      <w:pPr>
        <w:autoSpaceDE w:val="0"/>
        <w:autoSpaceDN w:val="0"/>
        <w:adjustRightInd w:val="0"/>
        <w:snapToGrid w:val="0"/>
        <w:spacing w:line="360" w:lineRule="auto"/>
        <w:ind w:firstLineChars="200" w:firstLine="480"/>
        <w:rPr>
          <w:rFonts w:ascii="宋体" w:hAnsi="宋体"/>
          <w:sz w:val="24"/>
        </w:rPr>
      </w:pPr>
      <w:r w:rsidRPr="002B3A8E">
        <w:rPr>
          <w:rFonts w:ascii="宋体" w:hAnsi="宋体" w:hint="eastAsia"/>
          <w:sz w:val="24"/>
        </w:rPr>
        <w:t>执行事务合伙人：李晓英、宋朝学、谭小青</w:t>
      </w:r>
    </w:p>
    <w:p w14:paraId="6436E3CF" w14:textId="7C6D2253" w:rsidR="002B3A8E" w:rsidRPr="002B3A8E" w:rsidRDefault="002B3A8E" w:rsidP="002B3A8E">
      <w:pPr>
        <w:autoSpaceDE w:val="0"/>
        <w:autoSpaceDN w:val="0"/>
        <w:adjustRightInd w:val="0"/>
        <w:snapToGrid w:val="0"/>
        <w:spacing w:line="360" w:lineRule="auto"/>
        <w:ind w:firstLineChars="200" w:firstLine="480"/>
        <w:rPr>
          <w:rFonts w:ascii="宋体" w:hAnsi="宋体"/>
          <w:sz w:val="24"/>
        </w:rPr>
      </w:pPr>
      <w:r w:rsidRPr="002B3A8E">
        <w:rPr>
          <w:rFonts w:ascii="宋体" w:hAnsi="宋体" w:hint="eastAsia"/>
          <w:sz w:val="24"/>
        </w:rPr>
        <w:t>联系人：</w:t>
      </w:r>
      <w:r w:rsidR="00BD185F" w:rsidRPr="00BD185F">
        <w:rPr>
          <w:rFonts w:ascii="宋体" w:hAnsi="宋体" w:hint="eastAsia"/>
          <w:sz w:val="24"/>
        </w:rPr>
        <w:t>白西敏</w:t>
      </w:r>
      <w:r w:rsidRPr="002B3A8E">
        <w:rPr>
          <w:rFonts w:ascii="宋体" w:hAnsi="宋体" w:hint="eastAsia"/>
          <w:sz w:val="24"/>
        </w:rPr>
        <w:t>、吴铃静</w:t>
      </w:r>
    </w:p>
    <w:p w14:paraId="28CE6686" w14:textId="77777777" w:rsidR="002B3A8E" w:rsidRPr="002B3A8E" w:rsidRDefault="002B3A8E" w:rsidP="002B3A8E">
      <w:pPr>
        <w:autoSpaceDE w:val="0"/>
        <w:autoSpaceDN w:val="0"/>
        <w:adjustRightInd w:val="0"/>
        <w:snapToGrid w:val="0"/>
        <w:spacing w:line="360" w:lineRule="auto"/>
        <w:ind w:firstLineChars="200" w:firstLine="480"/>
        <w:rPr>
          <w:rFonts w:ascii="宋体" w:hAnsi="宋体"/>
          <w:sz w:val="24"/>
        </w:rPr>
      </w:pPr>
      <w:r w:rsidRPr="002B3A8E">
        <w:rPr>
          <w:rFonts w:ascii="宋体" w:hAnsi="宋体" w:hint="eastAsia"/>
          <w:sz w:val="24"/>
        </w:rPr>
        <w:t>电话：010-65542288</w:t>
      </w:r>
    </w:p>
    <w:p w14:paraId="113FF2DB" w14:textId="77777777" w:rsidR="002B3A8E" w:rsidRPr="002B3A8E" w:rsidRDefault="002B3A8E" w:rsidP="002B3A8E">
      <w:pPr>
        <w:autoSpaceDE w:val="0"/>
        <w:autoSpaceDN w:val="0"/>
        <w:adjustRightInd w:val="0"/>
        <w:snapToGrid w:val="0"/>
        <w:spacing w:line="360" w:lineRule="auto"/>
        <w:ind w:firstLineChars="200" w:firstLine="480"/>
        <w:rPr>
          <w:rFonts w:ascii="宋体" w:hAnsi="宋体"/>
          <w:sz w:val="24"/>
        </w:rPr>
      </w:pPr>
      <w:r w:rsidRPr="002B3A8E">
        <w:rPr>
          <w:rFonts w:ascii="宋体" w:hAnsi="宋体" w:hint="eastAsia"/>
          <w:sz w:val="24"/>
        </w:rPr>
        <w:t>传真：010-65547190</w:t>
      </w:r>
    </w:p>
    <w:p w14:paraId="604985E9" w14:textId="01CABAD9" w:rsidR="008A6127" w:rsidRDefault="002B3A8E">
      <w:pPr>
        <w:snapToGrid w:val="0"/>
        <w:spacing w:line="360" w:lineRule="auto"/>
        <w:ind w:firstLineChars="200" w:firstLine="480"/>
        <w:rPr>
          <w:rFonts w:ascii="宋体" w:hAnsi="宋体"/>
        </w:rPr>
        <w:sectPr w:rsidR="008A6127">
          <w:pgSz w:w="11906" w:h="16838"/>
          <w:pgMar w:top="1440" w:right="1800" w:bottom="1440" w:left="1800" w:header="851" w:footer="992" w:gutter="0"/>
          <w:cols w:space="720"/>
          <w:docGrid w:type="lines" w:linePitch="312"/>
        </w:sectPr>
      </w:pPr>
      <w:r w:rsidRPr="002B3A8E">
        <w:rPr>
          <w:rFonts w:ascii="宋体" w:hAnsi="宋体" w:hint="eastAsia"/>
          <w:sz w:val="24"/>
        </w:rPr>
        <w:t>经办注册会计师：</w:t>
      </w:r>
      <w:r w:rsidR="00BD185F" w:rsidRPr="00BD185F">
        <w:rPr>
          <w:rFonts w:ascii="宋体" w:hAnsi="宋体" w:hint="eastAsia"/>
          <w:sz w:val="24"/>
        </w:rPr>
        <w:t>白西敏</w:t>
      </w:r>
      <w:r w:rsidRPr="002B3A8E">
        <w:rPr>
          <w:rFonts w:ascii="宋体" w:hAnsi="宋体" w:hint="eastAsia"/>
          <w:sz w:val="24"/>
        </w:rPr>
        <w:t>、吴铃静</w:t>
      </w:r>
    </w:p>
    <w:p w14:paraId="7FA331CE"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119" w:name="_Toc8264"/>
      <w:bookmarkStart w:id="120" w:name="_Toc29044"/>
      <w:bookmarkStart w:id="121" w:name="_Toc2459"/>
      <w:bookmarkStart w:id="122" w:name="_Toc360793850"/>
      <w:bookmarkStart w:id="123" w:name="_Toc362533455"/>
      <w:bookmarkStart w:id="124" w:name="_Toc14342"/>
      <w:bookmarkStart w:id="125" w:name="_Toc360793498"/>
      <w:bookmarkStart w:id="126" w:name="_Toc360794408"/>
      <w:bookmarkStart w:id="127" w:name="_Toc360794100"/>
      <w:bookmarkStart w:id="128" w:name="_Toc362455183"/>
      <w:bookmarkStart w:id="129" w:name="_Toc421532544"/>
      <w:bookmarkStart w:id="130" w:name="_Toc1591"/>
      <w:bookmarkStart w:id="131" w:name="_Toc405455123"/>
      <w:bookmarkStart w:id="132" w:name="_Toc360794516"/>
      <w:bookmarkStart w:id="133" w:name="_Toc204678785"/>
      <w:r>
        <w:rPr>
          <w:rFonts w:ascii="Cambria" w:hAnsi="Cambria" w:hint="eastAsia"/>
          <w:sz w:val="32"/>
          <w:szCs w:val="32"/>
        </w:rPr>
        <w:lastRenderedPageBreak/>
        <w:t>基金的募集</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32BA96D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本基金由基金管理人依照《基金法》、《运作办法》、《销售办法》、《基金合同》及其他有关规定，并经中国证监会</w:t>
      </w:r>
      <w:r>
        <w:rPr>
          <w:rFonts w:ascii="宋体" w:hAnsi="宋体"/>
          <w:sz w:val="24"/>
        </w:rPr>
        <w:t>2019</w:t>
      </w:r>
      <w:r>
        <w:rPr>
          <w:rFonts w:ascii="宋体" w:hAnsi="宋体" w:hint="eastAsia"/>
          <w:sz w:val="24"/>
        </w:rPr>
        <w:t>年</w:t>
      </w:r>
      <w:r>
        <w:rPr>
          <w:rFonts w:ascii="宋体" w:hAnsi="宋体"/>
          <w:sz w:val="24"/>
        </w:rPr>
        <w:t>5</w:t>
      </w:r>
      <w:r>
        <w:rPr>
          <w:rFonts w:ascii="宋体" w:hAnsi="宋体" w:hint="eastAsia"/>
          <w:sz w:val="24"/>
        </w:rPr>
        <w:t>月</w:t>
      </w:r>
      <w:r>
        <w:rPr>
          <w:rFonts w:ascii="宋体" w:hAnsi="宋体"/>
          <w:sz w:val="24"/>
        </w:rPr>
        <w:t>17</w:t>
      </w:r>
      <w:r>
        <w:rPr>
          <w:rFonts w:ascii="宋体" w:hAnsi="宋体" w:hint="eastAsia"/>
          <w:sz w:val="24"/>
        </w:rPr>
        <w:t>日证监许可【</w:t>
      </w:r>
      <w:r>
        <w:rPr>
          <w:rFonts w:ascii="宋体" w:hAnsi="宋体"/>
          <w:sz w:val="24"/>
        </w:rPr>
        <w:t>2019</w:t>
      </w:r>
      <w:r>
        <w:rPr>
          <w:rFonts w:ascii="宋体" w:hAnsi="宋体" w:hint="eastAsia"/>
          <w:sz w:val="24"/>
        </w:rPr>
        <w:t>】</w:t>
      </w:r>
      <w:r>
        <w:rPr>
          <w:rFonts w:ascii="宋体" w:hAnsi="宋体"/>
          <w:sz w:val="24"/>
        </w:rPr>
        <w:t xml:space="preserve"> 910</w:t>
      </w:r>
      <w:r>
        <w:rPr>
          <w:rFonts w:ascii="宋体" w:hAnsi="宋体" w:hint="eastAsia"/>
          <w:sz w:val="24"/>
        </w:rPr>
        <w:t>号文注册。</w:t>
      </w:r>
    </w:p>
    <w:p w14:paraId="3B3951E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本基金为契约型开放式基金。基金存续期限为不定期。募集期自</w:t>
      </w:r>
      <w:r>
        <w:rPr>
          <w:rFonts w:ascii="宋体" w:hAnsi="宋体"/>
          <w:sz w:val="24"/>
        </w:rPr>
        <w:t>2019</w:t>
      </w:r>
      <w:r>
        <w:rPr>
          <w:rFonts w:ascii="宋体" w:hAnsi="宋体" w:hint="eastAsia"/>
          <w:sz w:val="24"/>
        </w:rPr>
        <w:t>年</w:t>
      </w:r>
      <w:r>
        <w:rPr>
          <w:rFonts w:ascii="宋体" w:hAnsi="宋体"/>
          <w:sz w:val="24"/>
        </w:rPr>
        <w:t>6</w:t>
      </w:r>
      <w:r>
        <w:rPr>
          <w:rFonts w:ascii="宋体" w:hAnsi="宋体" w:hint="eastAsia"/>
          <w:sz w:val="24"/>
        </w:rPr>
        <w:t>月</w:t>
      </w:r>
      <w:r>
        <w:rPr>
          <w:rFonts w:ascii="宋体" w:hAnsi="宋体"/>
          <w:sz w:val="24"/>
        </w:rPr>
        <w:t>10</w:t>
      </w:r>
      <w:r>
        <w:rPr>
          <w:rFonts w:ascii="宋体" w:hAnsi="宋体" w:hint="eastAsia"/>
          <w:sz w:val="24"/>
        </w:rPr>
        <w:t>日至</w:t>
      </w:r>
      <w:r>
        <w:rPr>
          <w:rFonts w:ascii="宋体" w:hAnsi="宋体"/>
          <w:sz w:val="24"/>
        </w:rPr>
        <w:t>2019</w:t>
      </w:r>
      <w:r>
        <w:rPr>
          <w:rFonts w:ascii="宋体" w:hAnsi="宋体" w:hint="eastAsia"/>
          <w:sz w:val="24"/>
        </w:rPr>
        <w:t>年</w:t>
      </w:r>
      <w:r>
        <w:rPr>
          <w:rFonts w:ascii="宋体" w:hAnsi="宋体"/>
          <w:sz w:val="24"/>
        </w:rPr>
        <w:t>6</w:t>
      </w:r>
      <w:r>
        <w:rPr>
          <w:rFonts w:ascii="宋体" w:hAnsi="宋体" w:hint="eastAsia"/>
          <w:sz w:val="24"/>
        </w:rPr>
        <w:t>月</w:t>
      </w:r>
      <w:r>
        <w:rPr>
          <w:rFonts w:ascii="宋体" w:hAnsi="宋体"/>
          <w:sz w:val="24"/>
        </w:rPr>
        <w:t>24</w:t>
      </w:r>
      <w:r>
        <w:rPr>
          <w:rFonts w:ascii="宋体" w:hAnsi="宋体" w:hint="eastAsia"/>
          <w:sz w:val="24"/>
        </w:rPr>
        <w:t>日止，共募集</w:t>
      </w:r>
      <w:r>
        <w:rPr>
          <w:rFonts w:ascii="宋体" w:hAnsi="宋体"/>
          <w:sz w:val="24"/>
        </w:rPr>
        <w:t>850</w:t>
      </w:r>
      <w:r>
        <w:rPr>
          <w:rFonts w:ascii="宋体" w:hAnsi="宋体" w:hint="eastAsia"/>
          <w:sz w:val="24"/>
        </w:rPr>
        <w:t>,</w:t>
      </w:r>
      <w:r>
        <w:rPr>
          <w:rFonts w:ascii="宋体" w:hAnsi="宋体"/>
          <w:sz w:val="24"/>
        </w:rPr>
        <w:t>317</w:t>
      </w:r>
      <w:r>
        <w:rPr>
          <w:rFonts w:ascii="宋体" w:hAnsi="宋体" w:hint="eastAsia"/>
          <w:sz w:val="24"/>
        </w:rPr>
        <w:t>,</w:t>
      </w:r>
      <w:r>
        <w:rPr>
          <w:rFonts w:ascii="宋体" w:hAnsi="宋体"/>
          <w:sz w:val="24"/>
        </w:rPr>
        <w:t>633.82</w:t>
      </w:r>
      <w:r>
        <w:rPr>
          <w:rFonts w:ascii="宋体" w:hAnsi="宋体" w:hint="eastAsia"/>
          <w:sz w:val="24"/>
        </w:rPr>
        <w:t>份基金份额，募集户数为</w:t>
      </w:r>
      <w:r>
        <w:rPr>
          <w:rFonts w:ascii="宋体" w:hAnsi="宋体"/>
          <w:sz w:val="24"/>
        </w:rPr>
        <w:t>16</w:t>
      </w:r>
      <w:r>
        <w:rPr>
          <w:rFonts w:ascii="宋体" w:hAnsi="宋体" w:hint="eastAsia"/>
          <w:sz w:val="24"/>
        </w:rPr>
        <w:t>,</w:t>
      </w:r>
      <w:r>
        <w:rPr>
          <w:rFonts w:ascii="宋体" w:hAnsi="宋体"/>
          <w:sz w:val="24"/>
        </w:rPr>
        <w:t>140</w:t>
      </w:r>
      <w:r>
        <w:rPr>
          <w:rFonts w:ascii="宋体" w:hAnsi="宋体" w:hint="eastAsia"/>
          <w:sz w:val="24"/>
        </w:rPr>
        <w:t>户。</w:t>
      </w:r>
    </w:p>
    <w:p w14:paraId="2107F3AC"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134" w:name="_Toc22571624"/>
      <w:bookmarkStart w:id="135" w:name="_Toc22571643"/>
      <w:bookmarkStart w:id="136" w:name="_Toc22571579"/>
      <w:bookmarkStart w:id="137" w:name="_Toc22571601"/>
      <w:bookmarkStart w:id="138" w:name="_Toc22571633"/>
      <w:bookmarkStart w:id="139" w:name="_Toc22571639"/>
      <w:bookmarkStart w:id="140" w:name="_Toc22571569"/>
      <w:bookmarkStart w:id="141" w:name="_Toc22571580"/>
      <w:bookmarkStart w:id="142" w:name="_Toc22571614"/>
      <w:bookmarkStart w:id="143" w:name="_Toc22571566"/>
      <w:bookmarkStart w:id="144" w:name="_Toc22571588"/>
      <w:bookmarkStart w:id="145" w:name="_Toc22571632"/>
      <w:bookmarkStart w:id="146" w:name="_Toc22571568"/>
      <w:bookmarkStart w:id="147" w:name="_Toc22571627"/>
      <w:bookmarkStart w:id="148" w:name="_Toc22571572"/>
      <w:bookmarkStart w:id="149" w:name="_Toc22571640"/>
      <w:bookmarkStart w:id="150" w:name="_Toc22571634"/>
      <w:bookmarkStart w:id="151" w:name="_Toc22571565"/>
      <w:bookmarkStart w:id="152" w:name="_Toc22571585"/>
      <w:bookmarkStart w:id="153" w:name="_Toc22571594"/>
      <w:bookmarkStart w:id="154" w:name="_Toc22571641"/>
      <w:bookmarkStart w:id="155" w:name="_Toc22571636"/>
      <w:bookmarkStart w:id="156" w:name="_Toc22571642"/>
      <w:bookmarkStart w:id="157" w:name="_Toc22571581"/>
      <w:bookmarkStart w:id="158" w:name="_Toc22571635"/>
      <w:bookmarkStart w:id="159" w:name="_Toc22571564"/>
      <w:bookmarkStart w:id="160" w:name="_Toc22571646"/>
      <w:bookmarkStart w:id="161" w:name="_Toc22571590"/>
      <w:bookmarkStart w:id="162" w:name="_Toc22571630"/>
      <w:bookmarkStart w:id="163" w:name="_Toc22571587"/>
      <w:bookmarkStart w:id="164" w:name="_Toc22571593"/>
      <w:bookmarkStart w:id="165" w:name="_Toc22571584"/>
      <w:bookmarkStart w:id="166" w:name="_Toc22571586"/>
      <w:bookmarkStart w:id="167" w:name="_Toc22571628"/>
      <w:bookmarkStart w:id="168" w:name="_Toc22571629"/>
      <w:bookmarkStart w:id="169" w:name="_Toc22571623"/>
      <w:bookmarkStart w:id="170" w:name="_Toc22571598"/>
      <w:bookmarkStart w:id="171" w:name="_Toc22571600"/>
      <w:bookmarkStart w:id="172" w:name="_Toc22571597"/>
      <w:bookmarkStart w:id="173" w:name="_Toc22571577"/>
      <w:bookmarkStart w:id="174" w:name="_Toc22571625"/>
      <w:bookmarkStart w:id="175" w:name="_Toc22571637"/>
      <w:bookmarkStart w:id="176" w:name="_Toc22571595"/>
      <w:bookmarkStart w:id="177" w:name="_Toc22571638"/>
      <w:bookmarkStart w:id="178" w:name="_Toc22571622"/>
      <w:bookmarkStart w:id="179" w:name="_Toc22571573"/>
      <w:bookmarkStart w:id="180" w:name="_Toc22571645"/>
      <w:bookmarkStart w:id="181" w:name="_Toc22571583"/>
      <w:bookmarkStart w:id="182" w:name="_Toc22571570"/>
      <w:bookmarkStart w:id="183" w:name="_Toc22571571"/>
      <w:bookmarkStart w:id="184" w:name="_Toc22571616"/>
      <w:bookmarkStart w:id="185" w:name="_Toc22571620"/>
      <w:bookmarkStart w:id="186" w:name="_Toc22571596"/>
      <w:bookmarkStart w:id="187" w:name="_Toc22571563"/>
      <w:bookmarkStart w:id="188" w:name="_Toc22571599"/>
      <w:bookmarkStart w:id="189" w:name="_Toc22571574"/>
      <w:bookmarkStart w:id="190" w:name="_Toc22571631"/>
      <w:bookmarkStart w:id="191" w:name="_Toc22571591"/>
      <w:bookmarkStart w:id="192" w:name="_Toc22571621"/>
      <w:bookmarkStart w:id="193" w:name="_Toc22571567"/>
      <w:bookmarkStart w:id="194" w:name="_Toc22571626"/>
      <w:bookmarkStart w:id="195" w:name="_Toc22571618"/>
      <w:bookmarkStart w:id="196" w:name="_Toc22571582"/>
      <w:bookmarkStart w:id="197" w:name="_Toc22571619"/>
      <w:bookmarkStart w:id="198" w:name="_Toc22571575"/>
      <w:bookmarkStart w:id="199" w:name="_Toc22571615"/>
      <w:bookmarkStart w:id="200" w:name="_Toc22571644"/>
      <w:bookmarkStart w:id="201" w:name="_Toc22571617"/>
      <w:bookmarkStart w:id="202" w:name="_Toc22571589"/>
      <w:bookmarkStart w:id="203" w:name="_Toc22571592"/>
      <w:bookmarkStart w:id="204" w:name="_Toc22571578"/>
      <w:bookmarkStart w:id="205" w:name="_Toc22571576"/>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Fonts w:ascii="Cambria" w:hAnsi="Cambria"/>
        </w:rPr>
        <w:br w:type="page"/>
      </w:r>
      <w:bookmarkStart w:id="206" w:name="_Toc421532545"/>
      <w:bookmarkStart w:id="207" w:name="_Toc11026"/>
      <w:bookmarkStart w:id="208" w:name="_Toc362455184"/>
      <w:bookmarkStart w:id="209" w:name="_Toc9885"/>
      <w:bookmarkStart w:id="210" w:name="_Toc20865"/>
      <w:bookmarkStart w:id="211" w:name="_Toc360794517"/>
      <w:bookmarkStart w:id="212" w:name="_Toc360794409"/>
      <w:bookmarkStart w:id="213" w:name="_Toc6750"/>
      <w:bookmarkStart w:id="214" w:name="_Toc360793851"/>
      <w:bookmarkStart w:id="215" w:name="_Toc360793499"/>
      <w:bookmarkStart w:id="216" w:name="_Toc5374"/>
      <w:bookmarkStart w:id="217" w:name="_Toc362533456"/>
      <w:bookmarkStart w:id="218" w:name="_Toc360794101"/>
      <w:bookmarkStart w:id="219" w:name="_Toc405455124"/>
      <w:bookmarkStart w:id="220" w:name="_Toc204678786"/>
      <w:r>
        <w:rPr>
          <w:rFonts w:ascii="Cambria" w:hAnsi="Cambria" w:hint="eastAsia"/>
          <w:sz w:val="32"/>
          <w:szCs w:val="32"/>
        </w:rPr>
        <w:lastRenderedPageBreak/>
        <w:t>基金合同的生效</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491BBE6A" w14:textId="77777777" w:rsidR="008A6127" w:rsidRDefault="00437D9F">
      <w:pPr>
        <w:snapToGrid w:val="0"/>
        <w:spacing w:line="360" w:lineRule="auto"/>
        <w:ind w:firstLineChars="200" w:firstLine="482"/>
        <w:rPr>
          <w:rFonts w:ascii="宋体" w:hAnsi="宋体"/>
          <w:b/>
          <w:sz w:val="24"/>
        </w:rPr>
      </w:pPr>
      <w:bookmarkStart w:id="221" w:name="_Hlk1122243"/>
      <w:bookmarkStart w:id="222" w:name="_Toc360794102"/>
      <w:bookmarkStart w:id="223" w:name="_Toc362455185"/>
      <w:bookmarkStart w:id="224" w:name="_Toc405455125"/>
      <w:bookmarkStart w:id="225" w:name="_Toc360794410"/>
      <w:bookmarkStart w:id="226" w:name="_Toc360793852"/>
      <w:bookmarkStart w:id="227" w:name="_Toc360794518"/>
      <w:bookmarkStart w:id="228" w:name="_Toc360793500"/>
      <w:bookmarkStart w:id="229" w:name="_Toc362533457"/>
      <w:r>
        <w:rPr>
          <w:rFonts w:ascii="宋体" w:hAnsi="宋体" w:hint="eastAsia"/>
          <w:b/>
          <w:sz w:val="24"/>
        </w:rPr>
        <w:t>（一）</w:t>
      </w:r>
      <w:r>
        <w:rPr>
          <w:rFonts w:ascii="宋体" w:hAnsi="宋体"/>
          <w:b/>
          <w:sz w:val="24"/>
        </w:rPr>
        <w:t>基金备案的条件</w:t>
      </w:r>
    </w:p>
    <w:p w14:paraId="4864B370" w14:textId="77777777" w:rsidR="008A6127" w:rsidRDefault="00437D9F">
      <w:pPr>
        <w:snapToGrid w:val="0"/>
        <w:spacing w:line="360" w:lineRule="auto"/>
        <w:ind w:firstLineChars="200" w:firstLine="480"/>
        <w:rPr>
          <w:rFonts w:ascii="宋体" w:hAnsi="宋体"/>
          <w:sz w:val="24"/>
        </w:rPr>
      </w:pPr>
      <w:r>
        <w:rPr>
          <w:rFonts w:ascii="宋体" w:hAnsi="宋体"/>
          <w:sz w:val="24"/>
        </w:rPr>
        <w:t>本基金自基金份额发售之日起</w:t>
      </w:r>
      <w:r>
        <w:rPr>
          <w:rFonts w:ascii="宋体" w:hAnsi="宋体" w:hint="eastAsia"/>
          <w:sz w:val="24"/>
        </w:rPr>
        <w:t>3</w:t>
      </w:r>
      <w:r>
        <w:rPr>
          <w:rFonts w:ascii="宋体" w:hAnsi="宋体"/>
          <w:sz w:val="24"/>
        </w:rPr>
        <w:t>个月内，在基金募集份额总额不少于</w:t>
      </w:r>
      <w:r>
        <w:rPr>
          <w:rFonts w:ascii="宋体" w:hAnsi="宋体" w:hint="eastAsia"/>
          <w:sz w:val="24"/>
        </w:rPr>
        <w:t>2</w:t>
      </w:r>
      <w:r>
        <w:rPr>
          <w:rFonts w:ascii="宋体" w:hAnsi="宋体"/>
          <w:sz w:val="24"/>
        </w:rPr>
        <w:t>亿份，基金募集金额不少于</w:t>
      </w:r>
      <w:r>
        <w:rPr>
          <w:rFonts w:ascii="宋体" w:hAnsi="宋体" w:hint="eastAsia"/>
          <w:sz w:val="24"/>
        </w:rPr>
        <w:t>2</w:t>
      </w:r>
      <w:r>
        <w:rPr>
          <w:rFonts w:ascii="宋体" w:hAnsi="宋体"/>
          <w:sz w:val="24"/>
        </w:rPr>
        <w:t>亿元人民币</w:t>
      </w:r>
      <w:proofErr w:type="gramStart"/>
      <w:r>
        <w:rPr>
          <w:rFonts w:ascii="宋体" w:hAnsi="宋体"/>
          <w:sz w:val="24"/>
        </w:rPr>
        <w:t>且基金</w:t>
      </w:r>
      <w:proofErr w:type="gramEnd"/>
      <w:r>
        <w:rPr>
          <w:rFonts w:ascii="宋体" w:hAnsi="宋体"/>
          <w:sz w:val="24"/>
        </w:rPr>
        <w:t>认购人数不少于</w:t>
      </w:r>
      <w:r>
        <w:rPr>
          <w:rFonts w:ascii="宋体" w:hAnsi="宋体" w:hint="eastAsia"/>
          <w:sz w:val="24"/>
        </w:rPr>
        <w:t>200</w:t>
      </w:r>
      <w:r>
        <w:rPr>
          <w:rFonts w:ascii="宋体" w:hAnsi="宋体"/>
          <w:sz w:val="24"/>
        </w:rPr>
        <w:t>人的条件下，</w:t>
      </w:r>
      <w:r>
        <w:rPr>
          <w:rFonts w:ascii="宋体" w:hAnsi="宋体" w:hint="eastAsia"/>
          <w:sz w:val="24"/>
        </w:rPr>
        <w:t>基金募集期届满或</w:t>
      </w:r>
      <w:r>
        <w:rPr>
          <w:rFonts w:ascii="宋体" w:hAnsi="宋体"/>
          <w:sz w:val="24"/>
        </w:rPr>
        <w:t>基金管理人依据法律法规及招募说明书可以决定停止基金发售，并在</w:t>
      </w:r>
      <w:r>
        <w:rPr>
          <w:rFonts w:ascii="宋体" w:hAnsi="宋体" w:hint="eastAsia"/>
          <w:sz w:val="24"/>
        </w:rPr>
        <w:t>10</w:t>
      </w:r>
      <w:r>
        <w:rPr>
          <w:rFonts w:ascii="宋体" w:hAnsi="宋体"/>
          <w:sz w:val="24"/>
        </w:rPr>
        <w:t>日内聘请法定验资机构验资，自收到验资报告之日起</w:t>
      </w:r>
      <w:r>
        <w:rPr>
          <w:rFonts w:ascii="宋体" w:hAnsi="宋体" w:hint="eastAsia"/>
          <w:sz w:val="24"/>
        </w:rPr>
        <w:t>10</w:t>
      </w:r>
      <w:r>
        <w:rPr>
          <w:rFonts w:ascii="宋体" w:hAnsi="宋体"/>
          <w:sz w:val="24"/>
        </w:rPr>
        <w:t>日内，向中国证监会办理基金备案手续。</w:t>
      </w:r>
    </w:p>
    <w:p w14:paraId="5A449BBD" w14:textId="77777777" w:rsidR="008A6127" w:rsidRDefault="00437D9F">
      <w:pPr>
        <w:snapToGrid w:val="0"/>
        <w:spacing w:line="360" w:lineRule="auto"/>
        <w:ind w:firstLineChars="200" w:firstLine="480"/>
        <w:rPr>
          <w:rFonts w:ascii="宋体" w:hAnsi="宋体"/>
          <w:sz w:val="24"/>
        </w:rPr>
      </w:pPr>
      <w:r>
        <w:rPr>
          <w:rFonts w:ascii="宋体" w:hAnsi="宋体"/>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15178984" w14:textId="77777777" w:rsidR="008A6127" w:rsidRDefault="00437D9F">
      <w:pPr>
        <w:snapToGrid w:val="0"/>
        <w:spacing w:line="360" w:lineRule="auto"/>
        <w:ind w:firstLineChars="200" w:firstLine="482"/>
        <w:rPr>
          <w:rFonts w:ascii="宋体" w:hAnsi="宋体"/>
          <w:b/>
          <w:sz w:val="24"/>
        </w:rPr>
      </w:pPr>
      <w:r>
        <w:rPr>
          <w:rFonts w:ascii="宋体" w:hAnsi="宋体" w:hint="eastAsia"/>
          <w:b/>
          <w:sz w:val="24"/>
        </w:rPr>
        <w:t>（二）基金合同的生效</w:t>
      </w:r>
    </w:p>
    <w:p w14:paraId="430336F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根据有关规定，本基金满足基金合同生效条件，《基金合同》于</w:t>
      </w:r>
      <w:r>
        <w:rPr>
          <w:rFonts w:ascii="宋体" w:hAnsi="宋体"/>
          <w:sz w:val="24"/>
        </w:rPr>
        <w:t>2019</w:t>
      </w:r>
      <w:r>
        <w:rPr>
          <w:rFonts w:ascii="宋体" w:hAnsi="宋体" w:hint="eastAsia"/>
          <w:sz w:val="24"/>
        </w:rPr>
        <w:t>年</w:t>
      </w:r>
      <w:r>
        <w:rPr>
          <w:rFonts w:ascii="宋体" w:hAnsi="宋体"/>
          <w:sz w:val="24"/>
        </w:rPr>
        <w:t>6</w:t>
      </w:r>
      <w:r>
        <w:rPr>
          <w:rFonts w:ascii="宋体" w:hAnsi="宋体" w:hint="eastAsia"/>
          <w:sz w:val="24"/>
        </w:rPr>
        <w:t>月</w:t>
      </w:r>
      <w:r>
        <w:rPr>
          <w:rFonts w:ascii="宋体" w:hAnsi="宋体"/>
          <w:sz w:val="24"/>
        </w:rPr>
        <w:t>27</w:t>
      </w:r>
      <w:r>
        <w:rPr>
          <w:rFonts w:ascii="宋体" w:hAnsi="宋体" w:hint="eastAsia"/>
          <w:sz w:val="24"/>
        </w:rPr>
        <w:t>日正式生效。自基金合同生效日起，本基金管理人正式开始管理本基金。</w:t>
      </w:r>
    </w:p>
    <w:p w14:paraId="6D615DED" w14:textId="77777777" w:rsidR="008A6127" w:rsidRDefault="00437D9F">
      <w:pPr>
        <w:snapToGrid w:val="0"/>
        <w:spacing w:line="360" w:lineRule="auto"/>
        <w:ind w:firstLineChars="200" w:firstLine="482"/>
        <w:rPr>
          <w:rFonts w:ascii="宋体" w:hAnsi="宋体"/>
          <w:b/>
          <w:sz w:val="24"/>
        </w:rPr>
      </w:pPr>
      <w:r>
        <w:rPr>
          <w:rFonts w:ascii="宋体" w:hAnsi="宋体" w:hint="eastAsia"/>
          <w:b/>
          <w:sz w:val="24"/>
        </w:rPr>
        <w:t>（三）</w:t>
      </w:r>
      <w:r>
        <w:rPr>
          <w:rFonts w:ascii="宋体" w:hAnsi="宋体"/>
          <w:b/>
          <w:sz w:val="24"/>
        </w:rPr>
        <w:t>基金存续期内的基金份额持有人数量和资产规模</w:t>
      </w:r>
    </w:p>
    <w:p w14:paraId="4B5D3B04" w14:textId="77777777" w:rsidR="008A6127" w:rsidRDefault="00437D9F">
      <w:pPr>
        <w:snapToGrid w:val="0"/>
        <w:spacing w:line="360" w:lineRule="auto"/>
        <w:ind w:firstLineChars="200" w:firstLine="480"/>
        <w:rPr>
          <w:rFonts w:ascii="宋体" w:hAnsi="宋体"/>
          <w:sz w:val="24"/>
        </w:rPr>
      </w:pPr>
      <w:r>
        <w:rPr>
          <w:rFonts w:ascii="宋体" w:hAnsi="宋体"/>
          <w:sz w:val="24"/>
        </w:rPr>
        <w:t>《基金合同</w:t>
      </w:r>
      <w:r>
        <w:rPr>
          <w:rFonts w:ascii="宋体" w:hAnsi="宋体" w:hint="eastAsia"/>
          <w:sz w:val="24"/>
        </w:rPr>
        <w:t>》生效后，连续</w:t>
      </w:r>
      <w:r>
        <w:rPr>
          <w:rFonts w:ascii="宋体" w:hAnsi="宋体"/>
          <w:sz w:val="24"/>
        </w:rPr>
        <w:t>20</w:t>
      </w:r>
      <w:r>
        <w:rPr>
          <w:rFonts w:ascii="宋体" w:hAnsi="宋体" w:hint="eastAsia"/>
          <w:sz w:val="24"/>
        </w:rPr>
        <w:t>个工作日出现</w:t>
      </w:r>
      <w:r>
        <w:rPr>
          <w:rFonts w:ascii="宋体" w:hAnsi="宋体"/>
          <w:sz w:val="24"/>
        </w:rPr>
        <w:t>基金份额持有人数量不满</w:t>
      </w:r>
      <w:r>
        <w:rPr>
          <w:rFonts w:ascii="宋体" w:hAnsi="宋体" w:hint="eastAsia"/>
          <w:sz w:val="24"/>
        </w:rPr>
        <w:t>200</w:t>
      </w:r>
      <w:r>
        <w:rPr>
          <w:rFonts w:ascii="宋体" w:hAnsi="宋体"/>
          <w:sz w:val="24"/>
        </w:rPr>
        <w:t>人或者基金资产净值低于</w:t>
      </w:r>
      <w:r>
        <w:rPr>
          <w:rFonts w:ascii="宋体" w:hAnsi="宋体" w:hint="eastAsia"/>
          <w:sz w:val="24"/>
        </w:rPr>
        <w:t>5000万</w:t>
      </w:r>
      <w:r>
        <w:rPr>
          <w:rFonts w:ascii="宋体" w:hAnsi="宋体"/>
          <w:sz w:val="24"/>
        </w:rPr>
        <w:t>元</w:t>
      </w:r>
      <w:r>
        <w:rPr>
          <w:rFonts w:ascii="宋体" w:hAnsi="宋体" w:hint="eastAsia"/>
          <w:sz w:val="24"/>
        </w:rPr>
        <w:t>情形</w:t>
      </w:r>
      <w:r>
        <w:rPr>
          <w:rFonts w:ascii="宋体" w:hAnsi="宋体"/>
          <w:sz w:val="24"/>
        </w:rPr>
        <w:t>的，基金管理人应当</w:t>
      </w:r>
      <w:r>
        <w:rPr>
          <w:rFonts w:ascii="宋体" w:hAnsi="宋体" w:hint="eastAsia"/>
          <w:sz w:val="24"/>
        </w:rPr>
        <w:t>在定期报告中予以披露</w:t>
      </w:r>
      <w:r>
        <w:rPr>
          <w:rFonts w:ascii="宋体" w:hAnsi="宋体"/>
          <w:sz w:val="24"/>
        </w:rPr>
        <w:t>；连续</w:t>
      </w:r>
      <w:r>
        <w:rPr>
          <w:rFonts w:ascii="宋体" w:hAnsi="宋体" w:hint="eastAsia"/>
          <w:sz w:val="24"/>
        </w:rPr>
        <w:t>60</w:t>
      </w:r>
      <w:r>
        <w:rPr>
          <w:rFonts w:ascii="宋体" w:hAnsi="宋体"/>
          <w:sz w:val="24"/>
        </w:rPr>
        <w:t>个工作日出现前述情形的，</w:t>
      </w:r>
      <w:r>
        <w:rPr>
          <w:rFonts w:ascii="宋体" w:hAnsi="宋体" w:hint="eastAsia"/>
          <w:sz w:val="24"/>
        </w:rPr>
        <w:t>基金管理人应当向中国证监会报告并提出解决方案，如转换运作方式、与其他基金合并或者终止基金合同等，并召开基金份额持有人大会进行表决。</w:t>
      </w:r>
    </w:p>
    <w:p w14:paraId="52ADF446" w14:textId="77777777" w:rsidR="008A6127" w:rsidRDefault="00437D9F">
      <w:pPr>
        <w:snapToGrid w:val="0"/>
        <w:spacing w:line="360" w:lineRule="auto"/>
        <w:ind w:firstLineChars="200" w:firstLine="480"/>
        <w:rPr>
          <w:rFonts w:ascii="宋体" w:hAnsi="宋体"/>
          <w:sz w:val="24"/>
        </w:rPr>
      </w:pPr>
      <w:r>
        <w:rPr>
          <w:rFonts w:ascii="宋体" w:hAnsi="宋体"/>
          <w:sz w:val="24"/>
        </w:rPr>
        <w:t>法律法规</w:t>
      </w:r>
      <w:r>
        <w:rPr>
          <w:rFonts w:ascii="宋体" w:hAnsi="宋体" w:hint="eastAsia"/>
          <w:sz w:val="24"/>
        </w:rPr>
        <w:t>或中国证监会</w:t>
      </w:r>
      <w:r>
        <w:rPr>
          <w:rFonts w:ascii="宋体" w:hAnsi="宋体"/>
          <w:sz w:val="24"/>
        </w:rPr>
        <w:t>另有规定时，从其规定。</w:t>
      </w:r>
      <w:bookmarkEnd w:id="221"/>
    </w:p>
    <w:p w14:paraId="768109E0"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bCs w:val="0"/>
          <w:szCs w:val="21"/>
        </w:rPr>
        <w:br w:type="page"/>
      </w:r>
      <w:bookmarkStart w:id="230" w:name="_Toc8354"/>
      <w:bookmarkStart w:id="231" w:name="_Toc2584"/>
      <w:bookmarkStart w:id="232" w:name="_Toc30372"/>
      <w:bookmarkStart w:id="233" w:name="_Toc32647"/>
      <w:bookmarkStart w:id="234" w:name="_Toc421532546"/>
      <w:bookmarkStart w:id="235" w:name="_Toc6674"/>
      <w:bookmarkStart w:id="236" w:name="_Toc204678787"/>
      <w:r>
        <w:rPr>
          <w:rFonts w:ascii="Cambria" w:hAnsi="Cambria" w:hint="eastAsia"/>
          <w:sz w:val="32"/>
          <w:szCs w:val="32"/>
        </w:rPr>
        <w:lastRenderedPageBreak/>
        <w:t>基金份额的申购、赎回</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Fonts w:ascii="Cambria" w:hAnsi="Cambria" w:hint="eastAsia"/>
          <w:sz w:val="32"/>
          <w:szCs w:val="32"/>
        </w:rPr>
        <w:t>与转换</w:t>
      </w:r>
      <w:bookmarkEnd w:id="236"/>
    </w:p>
    <w:p w14:paraId="4F64DE85" w14:textId="77777777" w:rsidR="008A6127" w:rsidRDefault="00437D9F">
      <w:pPr>
        <w:pStyle w:val="a9"/>
        <w:snapToGrid w:val="0"/>
        <w:ind w:firstLineChars="200" w:firstLine="482"/>
        <w:jc w:val="left"/>
        <w:rPr>
          <w:rFonts w:ascii="宋体" w:hAnsi="宋体"/>
          <w:b/>
        </w:rPr>
      </w:pPr>
      <w:r>
        <w:rPr>
          <w:rFonts w:ascii="宋体" w:hAnsi="宋体" w:hint="eastAsia"/>
          <w:b/>
        </w:rPr>
        <w:t>（一）申购与赎回场所</w:t>
      </w:r>
    </w:p>
    <w:p w14:paraId="6BB96FCD" w14:textId="77777777" w:rsidR="008A6127" w:rsidRDefault="00437D9F">
      <w:pPr>
        <w:snapToGrid w:val="0"/>
        <w:spacing w:line="360" w:lineRule="auto"/>
        <w:ind w:firstLineChars="200" w:firstLine="480"/>
        <w:rPr>
          <w:rFonts w:ascii="宋体" w:hAnsi="宋体"/>
          <w:sz w:val="24"/>
        </w:rPr>
      </w:pPr>
      <w:bookmarkStart w:id="237" w:name="_Hlk1122744"/>
      <w:r>
        <w:rPr>
          <w:rFonts w:ascii="宋体" w:hAnsi="宋体"/>
          <w:sz w:val="24"/>
        </w:rPr>
        <w:t>本基金的申购与赎回将通过销售机构进行。具体的销售网点将由基金管理人在招募说明书或其他相关公告中列明。基金管理人可根据情况变更或增减销售机构，并</w:t>
      </w:r>
      <w:r>
        <w:rPr>
          <w:rFonts w:ascii="宋体" w:hAnsi="宋体" w:hint="eastAsia"/>
          <w:sz w:val="24"/>
        </w:rPr>
        <w:t>在管理人网站公示</w:t>
      </w:r>
      <w:r>
        <w:rPr>
          <w:rFonts w:ascii="宋体" w:hAnsi="宋体"/>
          <w:sz w:val="24"/>
        </w:rPr>
        <w:t>。基金投资者应当</w:t>
      </w:r>
      <w:r>
        <w:rPr>
          <w:rFonts w:ascii="宋体" w:hAnsi="宋体" w:hint="eastAsia"/>
          <w:sz w:val="24"/>
        </w:rPr>
        <w:t>在</w:t>
      </w:r>
      <w:r>
        <w:rPr>
          <w:rFonts w:ascii="宋体" w:hAnsi="宋体"/>
          <w:sz w:val="24"/>
        </w:rPr>
        <w:t>销售机构办理基金销售业务的营业场所或按销售机构提供的其他方式办理基金份额的申购与赎回。</w:t>
      </w:r>
      <w:bookmarkEnd w:id="237"/>
    </w:p>
    <w:p w14:paraId="4403035C" w14:textId="77777777" w:rsidR="008A6127" w:rsidRDefault="00437D9F">
      <w:pPr>
        <w:pStyle w:val="a9"/>
        <w:snapToGrid w:val="0"/>
        <w:ind w:firstLineChars="200" w:firstLine="482"/>
        <w:jc w:val="left"/>
        <w:rPr>
          <w:rFonts w:ascii="宋体" w:hAnsi="宋体"/>
          <w:b/>
        </w:rPr>
      </w:pPr>
      <w:r>
        <w:rPr>
          <w:rFonts w:ascii="宋体" w:hAnsi="宋体" w:hint="eastAsia"/>
          <w:b/>
        </w:rPr>
        <w:t>（二）申购与赎回的开放日及时间</w:t>
      </w:r>
    </w:p>
    <w:p w14:paraId="42A4ABE0" w14:textId="77777777" w:rsidR="008A6127" w:rsidRDefault="00437D9F">
      <w:pPr>
        <w:snapToGrid w:val="0"/>
        <w:spacing w:line="360" w:lineRule="auto"/>
        <w:ind w:firstLineChars="200" w:firstLine="480"/>
        <w:rPr>
          <w:rFonts w:ascii="宋体" w:hAnsi="宋体"/>
          <w:sz w:val="24"/>
        </w:rPr>
      </w:pPr>
      <w:bookmarkStart w:id="238" w:name="_Hlk1122766"/>
      <w:r>
        <w:rPr>
          <w:rFonts w:ascii="宋体" w:hAnsi="宋体"/>
          <w:sz w:val="24"/>
        </w:rPr>
        <w:t>1</w:t>
      </w:r>
      <w:r>
        <w:rPr>
          <w:rFonts w:ascii="宋体" w:hAnsi="宋体" w:hint="eastAsia"/>
          <w:sz w:val="24"/>
        </w:rPr>
        <w:t>、</w:t>
      </w:r>
      <w:r>
        <w:rPr>
          <w:rFonts w:ascii="宋体" w:hAnsi="宋体"/>
          <w:sz w:val="24"/>
        </w:rPr>
        <w:t>开放日及开放时间</w:t>
      </w:r>
    </w:p>
    <w:p w14:paraId="426286D8" w14:textId="77777777" w:rsidR="008A6127" w:rsidRDefault="00437D9F">
      <w:pPr>
        <w:snapToGrid w:val="0"/>
        <w:spacing w:line="360" w:lineRule="auto"/>
        <w:ind w:firstLineChars="200" w:firstLine="480"/>
        <w:rPr>
          <w:rFonts w:ascii="宋体" w:hAnsi="宋体"/>
          <w:sz w:val="24"/>
        </w:rPr>
      </w:pPr>
      <w:r>
        <w:rPr>
          <w:rFonts w:ascii="宋体" w:hAnsi="宋体"/>
          <w:sz w:val="24"/>
        </w:rPr>
        <w:t>投资人在开放日办理基金份额的申购</w:t>
      </w:r>
      <w:r>
        <w:rPr>
          <w:rFonts w:ascii="宋体" w:hAnsi="宋体" w:hint="eastAsia"/>
          <w:sz w:val="24"/>
        </w:rPr>
        <w:t>和</w:t>
      </w:r>
      <w:r>
        <w:rPr>
          <w:rFonts w:ascii="宋体" w:hAnsi="宋体"/>
          <w:sz w:val="24"/>
        </w:rPr>
        <w:t>赎回，具体办理时间为上海证券交易所、深圳证券交易所的正常交易日的交易时间，</w:t>
      </w:r>
      <w:r>
        <w:rPr>
          <w:rFonts w:ascii="宋体" w:hAnsi="宋体" w:hint="eastAsia"/>
          <w:sz w:val="24"/>
        </w:rPr>
        <w:t>若本基金参与港股</w:t>
      </w:r>
      <w:proofErr w:type="gramStart"/>
      <w:r>
        <w:rPr>
          <w:rFonts w:ascii="宋体" w:hAnsi="宋体" w:hint="eastAsia"/>
          <w:sz w:val="24"/>
        </w:rPr>
        <w:t>通交易且</w:t>
      </w:r>
      <w:proofErr w:type="gramEnd"/>
      <w:r>
        <w:rPr>
          <w:rFonts w:ascii="宋体" w:hAnsi="宋体" w:hint="eastAsia"/>
          <w:sz w:val="24"/>
        </w:rPr>
        <w:t>该工作日为非港股</w:t>
      </w:r>
      <w:proofErr w:type="gramStart"/>
      <w:r>
        <w:rPr>
          <w:rFonts w:ascii="宋体" w:hAnsi="宋体" w:hint="eastAsia"/>
          <w:sz w:val="24"/>
        </w:rPr>
        <w:t>通交</w:t>
      </w:r>
      <w:proofErr w:type="gramEnd"/>
      <w:r>
        <w:rPr>
          <w:rFonts w:ascii="宋体" w:hAnsi="宋体" w:hint="eastAsia"/>
          <w:sz w:val="24"/>
        </w:rPr>
        <w:t>易日时，则本基金可以不开放申购、赎回和其他业务，基金管理人为此决定不开放申购、赎回或其他业务的应按法律法规公告，</w:t>
      </w:r>
      <w:r>
        <w:rPr>
          <w:rFonts w:ascii="宋体" w:hAnsi="宋体"/>
          <w:sz w:val="24"/>
        </w:rPr>
        <w:t>但基金管理人根据法律法规、中国证监会的要求或基金合同的规定公告暂停申购、赎回时除外。</w:t>
      </w:r>
    </w:p>
    <w:p w14:paraId="58DBD779" w14:textId="77777777" w:rsidR="008A6127" w:rsidRDefault="00437D9F">
      <w:pPr>
        <w:snapToGrid w:val="0"/>
        <w:spacing w:line="360" w:lineRule="auto"/>
        <w:ind w:firstLineChars="200" w:firstLine="480"/>
        <w:rPr>
          <w:rFonts w:ascii="宋体" w:hAnsi="宋体"/>
          <w:sz w:val="24"/>
        </w:rPr>
      </w:pPr>
      <w:r>
        <w:rPr>
          <w:rFonts w:ascii="宋体" w:hAnsi="宋体"/>
          <w:sz w:val="24"/>
        </w:rPr>
        <w:t>基金合同生效后，若出现新的证券</w:t>
      </w:r>
      <w:r>
        <w:rPr>
          <w:rFonts w:ascii="宋体" w:hAnsi="宋体" w:hint="eastAsia"/>
          <w:sz w:val="24"/>
        </w:rPr>
        <w:t>/期货</w:t>
      </w:r>
      <w:r>
        <w:rPr>
          <w:rFonts w:ascii="宋体" w:hAnsi="宋体"/>
          <w:sz w:val="24"/>
        </w:rPr>
        <w:t>交易市场、证券</w:t>
      </w:r>
      <w:r>
        <w:rPr>
          <w:rFonts w:ascii="宋体" w:hAnsi="宋体" w:hint="eastAsia"/>
          <w:sz w:val="24"/>
        </w:rPr>
        <w:t>/期货</w:t>
      </w:r>
      <w:r>
        <w:rPr>
          <w:rFonts w:ascii="宋体" w:hAnsi="宋体"/>
          <w:sz w:val="24"/>
        </w:rPr>
        <w:t>交易所交易时间变更或其他特殊情况，基金管理人将视情况对前述开放日及开放时间进行相应的调整，但应在实施日前依照《信息披露办法》的有关规定在规定媒介上公告。</w:t>
      </w:r>
    </w:p>
    <w:p w14:paraId="04E60FFB"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申购、赎回开始日及业务办理时间</w:t>
      </w:r>
    </w:p>
    <w:p w14:paraId="08FFCD8E"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基金管理人自基金合同生效之日起不超过3</w:t>
      </w:r>
      <w:r>
        <w:rPr>
          <w:rFonts w:ascii="宋体" w:hAnsi="宋体" w:hint="eastAsia"/>
          <w:sz w:val="24"/>
        </w:rPr>
        <w:t>个月</w:t>
      </w:r>
      <w:r>
        <w:rPr>
          <w:rFonts w:ascii="宋体" w:hAnsi="宋体"/>
          <w:sz w:val="24"/>
        </w:rPr>
        <w:t>开始办理申购，具体业务办理时间在申购开始公告中规定。</w:t>
      </w:r>
    </w:p>
    <w:p w14:paraId="587D6AFF"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基金管理人自基金合同生效之日起不超过3</w:t>
      </w:r>
      <w:r>
        <w:rPr>
          <w:rFonts w:ascii="宋体" w:hAnsi="宋体" w:hint="eastAsia"/>
          <w:sz w:val="24"/>
        </w:rPr>
        <w:t>个月</w:t>
      </w:r>
      <w:r>
        <w:rPr>
          <w:rFonts w:ascii="宋体" w:hAnsi="宋体"/>
          <w:sz w:val="24"/>
        </w:rPr>
        <w:t>开始办理赎回，具体业务办理时间在赎回开始公告中规定。</w:t>
      </w:r>
    </w:p>
    <w:p w14:paraId="5E7E8B22" w14:textId="77777777" w:rsidR="008A6127" w:rsidRDefault="00437D9F">
      <w:pPr>
        <w:snapToGrid w:val="0"/>
        <w:spacing w:line="360" w:lineRule="auto"/>
        <w:ind w:firstLineChars="200" w:firstLine="480"/>
        <w:rPr>
          <w:rFonts w:ascii="宋体" w:hAnsi="宋体"/>
          <w:sz w:val="24"/>
        </w:rPr>
      </w:pPr>
      <w:r>
        <w:rPr>
          <w:rFonts w:ascii="宋体" w:hAnsi="宋体"/>
          <w:sz w:val="24"/>
        </w:rPr>
        <w:t>在确定申购开始与赎回开始时间后，基金管理人应在申购、赎回开放日前依照《信息披露办法》的有关规定在规定媒介上公告申购与赎回的开始时间。</w:t>
      </w:r>
    </w:p>
    <w:p w14:paraId="37AC70AB"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基金管理人不得在基金合同约定之外的日期或者时间办理基金份额的申购</w:t>
      </w:r>
      <w:r>
        <w:rPr>
          <w:rFonts w:ascii="宋体" w:hAnsi="宋体" w:hint="eastAsia"/>
          <w:sz w:val="24"/>
        </w:rPr>
        <w:t>、</w:t>
      </w:r>
      <w:r>
        <w:rPr>
          <w:rFonts w:ascii="宋体" w:hAnsi="宋体"/>
          <w:sz w:val="24"/>
        </w:rPr>
        <w:t>赎回或者转换。投资人在基金合同约定之外的日期和时间提出申购、赎回或转换申请</w:t>
      </w:r>
      <w:proofErr w:type="gramStart"/>
      <w:r>
        <w:rPr>
          <w:rFonts w:ascii="宋体" w:hAnsi="宋体" w:hint="eastAsia"/>
          <w:sz w:val="24"/>
        </w:rPr>
        <w:t>且登记</w:t>
      </w:r>
      <w:proofErr w:type="gramEnd"/>
      <w:r>
        <w:rPr>
          <w:rFonts w:ascii="宋体" w:hAnsi="宋体" w:hint="eastAsia"/>
          <w:sz w:val="24"/>
        </w:rPr>
        <w:t>机构确认接受</w:t>
      </w:r>
      <w:r>
        <w:rPr>
          <w:rFonts w:ascii="宋体" w:hAnsi="宋体"/>
          <w:sz w:val="24"/>
        </w:rPr>
        <w:t>的，其基金份额申购、赎回价格为下一开放日基金份额申购、赎回的价格。</w:t>
      </w:r>
      <w:bookmarkEnd w:id="238"/>
    </w:p>
    <w:p w14:paraId="6D6B1760" w14:textId="77777777" w:rsidR="008A6127" w:rsidRDefault="00437D9F">
      <w:pPr>
        <w:pStyle w:val="a9"/>
        <w:snapToGrid w:val="0"/>
        <w:ind w:firstLineChars="200" w:firstLine="482"/>
        <w:jc w:val="left"/>
        <w:rPr>
          <w:rFonts w:ascii="宋体" w:hAnsi="宋体"/>
          <w:b/>
        </w:rPr>
      </w:pPr>
      <w:r>
        <w:rPr>
          <w:rFonts w:ascii="宋体" w:hAnsi="宋体" w:hint="eastAsia"/>
          <w:b/>
        </w:rPr>
        <w:t>（三）申购与赎回的原则</w:t>
      </w:r>
    </w:p>
    <w:p w14:paraId="406CB41D" w14:textId="77777777" w:rsidR="008A6127" w:rsidRDefault="00437D9F">
      <w:pPr>
        <w:snapToGrid w:val="0"/>
        <w:spacing w:line="360" w:lineRule="auto"/>
        <w:ind w:firstLineChars="200" w:firstLine="480"/>
        <w:rPr>
          <w:rFonts w:ascii="宋体" w:hAnsi="宋体"/>
          <w:sz w:val="24"/>
        </w:rPr>
      </w:pPr>
      <w:bookmarkStart w:id="239" w:name="_Hlk1122789"/>
      <w:r>
        <w:rPr>
          <w:rFonts w:ascii="宋体" w:hAnsi="宋体"/>
          <w:sz w:val="24"/>
        </w:rPr>
        <w:t>1</w:t>
      </w:r>
      <w:r>
        <w:rPr>
          <w:rFonts w:ascii="宋体" w:hAnsi="宋体" w:hint="eastAsia"/>
          <w:sz w:val="24"/>
        </w:rPr>
        <w:t>、</w:t>
      </w:r>
      <w:r>
        <w:rPr>
          <w:rFonts w:ascii="宋体" w:hAnsi="宋体"/>
          <w:sz w:val="24"/>
        </w:rPr>
        <w:t>“未知价”原则，即申购、赎回价格以申请当日收市后计算的基金份额</w:t>
      </w:r>
      <w:r>
        <w:rPr>
          <w:rFonts w:ascii="宋体" w:hAnsi="宋体"/>
          <w:sz w:val="24"/>
        </w:rPr>
        <w:lastRenderedPageBreak/>
        <w:t>净值为基准进行计算；</w:t>
      </w:r>
    </w:p>
    <w:p w14:paraId="2546884A"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“金额申购、份额赎回”原则，即申购以金额申请，赎回以份额申请；</w:t>
      </w:r>
    </w:p>
    <w:p w14:paraId="1DE74ADD"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w:t>
      </w:r>
      <w:r>
        <w:rPr>
          <w:rFonts w:ascii="宋体" w:hAnsi="宋体"/>
          <w:sz w:val="24"/>
        </w:rPr>
        <w:t>当日的申购与赎回申请可以在基金管理人规定的时间以内撤销</w:t>
      </w:r>
      <w:r>
        <w:rPr>
          <w:rFonts w:ascii="宋体" w:hAnsi="宋体" w:hint="eastAsia"/>
          <w:sz w:val="24"/>
        </w:rPr>
        <w:t>，但申请经登记机构受理的不得撤销</w:t>
      </w:r>
      <w:r>
        <w:rPr>
          <w:rFonts w:ascii="宋体" w:hAnsi="宋体"/>
          <w:sz w:val="24"/>
        </w:rPr>
        <w:t>；</w:t>
      </w:r>
    </w:p>
    <w:p w14:paraId="4D2FBACE"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w:t>
      </w:r>
      <w:r>
        <w:rPr>
          <w:rFonts w:ascii="宋体" w:hAnsi="宋体"/>
          <w:sz w:val="24"/>
        </w:rPr>
        <w:t>赎回遵循“先进先出”原则，即按照投资人认购、申购的先后次序进行顺序赎回；</w:t>
      </w:r>
    </w:p>
    <w:p w14:paraId="3B1E455B" w14:textId="77777777" w:rsidR="008A6127" w:rsidRDefault="00437D9F">
      <w:pPr>
        <w:snapToGrid w:val="0"/>
        <w:spacing w:line="360" w:lineRule="auto"/>
        <w:ind w:firstLineChars="200" w:firstLine="480"/>
        <w:rPr>
          <w:rFonts w:ascii="宋体" w:hAnsi="宋体"/>
          <w:sz w:val="24"/>
        </w:rPr>
      </w:pPr>
      <w:r>
        <w:rPr>
          <w:rFonts w:ascii="宋体" w:hAnsi="宋体"/>
          <w:sz w:val="24"/>
        </w:rPr>
        <w:t>5、办理申购、赎回业务时，应当遵循基金份额持有人利益优先原则</w:t>
      </w:r>
      <w:r>
        <w:rPr>
          <w:rFonts w:ascii="宋体" w:hAnsi="宋体" w:hint="eastAsia"/>
          <w:sz w:val="24"/>
        </w:rPr>
        <w:t>，确保投资者的合法权益不受损害并得到公平对待</w:t>
      </w:r>
      <w:bookmarkStart w:id="240" w:name="_Hlk2848503"/>
      <w:r>
        <w:rPr>
          <w:rFonts w:ascii="宋体" w:hAnsi="宋体" w:hint="eastAsia"/>
          <w:sz w:val="24"/>
        </w:rPr>
        <w:t>；</w:t>
      </w:r>
      <w:bookmarkEnd w:id="240"/>
    </w:p>
    <w:p w14:paraId="135789B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6、基金管理人有权决定基金份额持有人持有本基金的最高限额和本基金的总规模限额，但应最迟在新的限额实施前依照《信息披露办法》的有关规定在</w:t>
      </w:r>
      <w:r>
        <w:rPr>
          <w:rFonts w:ascii="宋体" w:hAnsi="宋体"/>
          <w:sz w:val="24"/>
        </w:rPr>
        <w:t>规定媒介</w:t>
      </w:r>
      <w:r>
        <w:rPr>
          <w:rFonts w:ascii="宋体" w:hAnsi="宋体" w:hint="eastAsia"/>
          <w:sz w:val="24"/>
        </w:rPr>
        <w:t>上公告。</w:t>
      </w:r>
    </w:p>
    <w:p w14:paraId="204A8979"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基金管理人可在法律法规允许的情况下，对上述原则进行调整。基金管理人必须在新规则开始实施前依照《信息披露办法》的有关规定在规定媒介上公告。</w:t>
      </w:r>
      <w:bookmarkEnd w:id="239"/>
    </w:p>
    <w:p w14:paraId="66889A95" w14:textId="77777777" w:rsidR="008A6127" w:rsidRDefault="00437D9F">
      <w:pPr>
        <w:pStyle w:val="a9"/>
        <w:snapToGrid w:val="0"/>
        <w:ind w:firstLineChars="200" w:firstLine="482"/>
        <w:jc w:val="left"/>
        <w:rPr>
          <w:rFonts w:ascii="宋体" w:hAnsi="宋体"/>
          <w:b/>
        </w:rPr>
      </w:pPr>
      <w:r>
        <w:rPr>
          <w:rFonts w:ascii="宋体" w:hAnsi="宋体" w:hint="eastAsia"/>
          <w:b/>
        </w:rPr>
        <w:t>（四）申购与赎回的程序</w:t>
      </w:r>
    </w:p>
    <w:p w14:paraId="219F25BD" w14:textId="77777777" w:rsidR="008A6127" w:rsidRDefault="00437D9F">
      <w:pPr>
        <w:snapToGrid w:val="0"/>
        <w:spacing w:line="360" w:lineRule="auto"/>
        <w:ind w:firstLineChars="200" w:firstLine="480"/>
        <w:rPr>
          <w:rFonts w:ascii="宋体" w:hAnsi="宋体"/>
          <w:sz w:val="24"/>
        </w:rPr>
      </w:pPr>
      <w:bookmarkStart w:id="241" w:name="_Hlk1122833"/>
      <w:r>
        <w:rPr>
          <w:rFonts w:ascii="宋体" w:hAnsi="宋体"/>
          <w:sz w:val="24"/>
        </w:rPr>
        <w:t>1</w:t>
      </w:r>
      <w:r>
        <w:rPr>
          <w:rFonts w:ascii="宋体" w:hAnsi="宋体" w:hint="eastAsia"/>
          <w:sz w:val="24"/>
        </w:rPr>
        <w:t>、</w:t>
      </w:r>
      <w:r>
        <w:rPr>
          <w:rFonts w:ascii="宋体" w:hAnsi="宋体"/>
          <w:sz w:val="24"/>
        </w:rPr>
        <w:t>申购和赎回的申请方式</w:t>
      </w:r>
    </w:p>
    <w:p w14:paraId="717794CE" w14:textId="77777777" w:rsidR="008A6127" w:rsidRDefault="00437D9F">
      <w:pPr>
        <w:snapToGrid w:val="0"/>
        <w:spacing w:line="360" w:lineRule="auto"/>
        <w:ind w:firstLineChars="200" w:firstLine="480"/>
        <w:rPr>
          <w:rFonts w:ascii="宋体" w:hAnsi="宋体"/>
          <w:sz w:val="24"/>
        </w:rPr>
      </w:pPr>
      <w:r>
        <w:rPr>
          <w:rFonts w:ascii="宋体" w:hAnsi="宋体"/>
          <w:sz w:val="24"/>
        </w:rPr>
        <w:t>投资人必须根据销售机构规定的程序，在开放日的具体业务办理时间内提出申购或赎回的申请。</w:t>
      </w:r>
    </w:p>
    <w:p w14:paraId="1394982D"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申购和赎回的款项支付</w:t>
      </w:r>
    </w:p>
    <w:p w14:paraId="469EBB35" w14:textId="77777777" w:rsidR="008A6127" w:rsidRDefault="00437D9F">
      <w:pPr>
        <w:snapToGrid w:val="0"/>
        <w:spacing w:line="360" w:lineRule="auto"/>
        <w:ind w:firstLineChars="200" w:firstLine="480"/>
        <w:rPr>
          <w:rFonts w:ascii="宋体" w:hAnsi="宋体"/>
          <w:sz w:val="24"/>
        </w:rPr>
      </w:pPr>
      <w:r>
        <w:rPr>
          <w:rFonts w:ascii="宋体" w:hAnsi="宋体"/>
          <w:sz w:val="24"/>
        </w:rPr>
        <w:t>投资人申购基金份额时，必须</w:t>
      </w:r>
      <w:r>
        <w:rPr>
          <w:rFonts w:ascii="宋体" w:hAnsi="宋体" w:hint="eastAsia"/>
          <w:sz w:val="24"/>
        </w:rPr>
        <w:t>在规定的时间内</w:t>
      </w:r>
      <w:r>
        <w:rPr>
          <w:rFonts w:ascii="宋体" w:hAnsi="宋体"/>
          <w:sz w:val="24"/>
        </w:rPr>
        <w:t>全额交付申购款项，投资人交付</w:t>
      </w:r>
      <w:r>
        <w:rPr>
          <w:rFonts w:ascii="宋体" w:hAnsi="宋体" w:hint="eastAsia"/>
          <w:sz w:val="24"/>
        </w:rPr>
        <w:t>申购</w:t>
      </w:r>
      <w:r>
        <w:rPr>
          <w:rFonts w:ascii="宋体" w:hAnsi="宋体"/>
          <w:sz w:val="24"/>
        </w:rPr>
        <w:t>款项，申购成立；</w:t>
      </w:r>
      <w:r>
        <w:rPr>
          <w:rFonts w:ascii="宋体" w:hAnsi="宋体" w:hint="eastAsia"/>
          <w:sz w:val="24"/>
        </w:rPr>
        <w:t>基金份额</w:t>
      </w:r>
      <w:r>
        <w:rPr>
          <w:rFonts w:ascii="宋体" w:hAnsi="宋体"/>
          <w:sz w:val="24"/>
        </w:rPr>
        <w:t>登记机构确认基金份额时，申购生效。</w:t>
      </w:r>
    </w:p>
    <w:p w14:paraId="5280B75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若申购资金在规定时间内未全额到账则申购不成立，申购款项将退回投资人账户，基金管理人、基金托管人和销售机构等不承担由此产生的利息等任何损失。</w:t>
      </w:r>
    </w:p>
    <w:p w14:paraId="2F05A12D" w14:textId="77777777" w:rsidR="008A6127" w:rsidRDefault="00437D9F">
      <w:pPr>
        <w:snapToGrid w:val="0"/>
        <w:spacing w:line="360" w:lineRule="auto"/>
        <w:ind w:firstLineChars="200" w:firstLine="480"/>
        <w:rPr>
          <w:rFonts w:ascii="宋体" w:hAnsi="宋体"/>
          <w:sz w:val="24"/>
        </w:rPr>
      </w:pPr>
      <w:r>
        <w:rPr>
          <w:rFonts w:ascii="宋体" w:hAnsi="宋体"/>
          <w:sz w:val="24"/>
        </w:rPr>
        <w:t>基金份额持有人递交赎回申请，赎回成立；</w:t>
      </w:r>
      <w:r>
        <w:rPr>
          <w:rFonts w:ascii="宋体" w:hAnsi="宋体" w:hint="eastAsia"/>
          <w:sz w:val="24"/>
        </w:rPr>
        <w:t>基金份额</w:t>
      </w:r>
      <w:r>
        <w:rPr>
          <w:rFonts w:ascii="宋体" w:hAnsi="宋体"/>
          <w:sz w:val="24"/>
        </w:rPr>
        <w:t>登记机构确认赎回时，赎回生效。投资者赎回申请生效后</w:t>
      </w:r>
      <w:r>
        <w:rPr>
          <w:rFonts w:ascii="宋体" w:hAnsi="宋体" w:hint="eastAsia"/>
          <w:sz w:val="24"/>
        </w:rPr>
        <w:t>，</w:t>
      </w:r>
      <w:r>
        <w:rPr>
          <w:rFonts w:ascii="宋体" w:hAnsi="宋体"/>
          <w:sz w:val="24"/>
        </w:rPr>
        <w:t>基金管理人将在T＋</w:t>
      </w:r>
      <w:r>
        <w:rPr>
          <w:rFonts w:ascii="宋体" w:hAnsi="宋体" w:hint="eastAsia"/>
          <w:sz w:val="24"/>
        </w:rPr>
        <w:t>7</w:t>
      </w:r>
      <w:r>
        <w:rPr>
          <w:rFonts w:ascii="宋体" w:hAnsi="宋体"/>
          <w:sz w:val="24"/>
        </w:rPr>
        <w:t>日(包括该日)内支付赎回款项。在发生巨额赎回</w:t>
      </w:r>
      <w:r>
        <w:rPr>
          <w:rFonts w:ascii="宋体" w:hAnsi="宋体" w:hint="eastAsia"/>
          <w:sz w:val="24"/>
        </w:rPr>
        <w:t>或基金合同载明的其他暂停赎回或延缓支付赎回款项的情形</w:t>
      </w:r>
      <w:r>
        <w:rPr>
          <w:rFonts w:ascii="宋体" w:hAnsi="宋体"/>
          <w:sz w:val="24"/>
        </w:rPr>
        <w:t>时，款项的支付办法参照基金合同有关条款处理。</w:t>
      </w:r>
    </w:p>
    <w:p w14:paraId="060513C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遇交易所或交易市场数据传输延迟、通讯系统故障、银行数据交换系统故障或其他</w:t>
      </w:r>
      <w:proofErr w:type="gramStart"/>
      <w:r>
        <w:rPr>
          <w:rFonts w:ascii="宋体" w:hAnsi="宋体" w:hint="eastAsia"/>
          <w:sz w:val="24"/>
        </w:rPr>
        <w:t>非基金</w:t>
      </w:r>
      <w:proofErr w:type="gramEnd"/>
      <w:r>
        <w:rPr>
          <w:rFonts w:ascii="宋体" w:hAnsi="宋体" w:hint="eastAsia"/>
          <w:sz w:val="24"/>
        </w:rPr>
        <w:t>管理人及基金托管人所能控制的因素影响业务处理流程，则</w:t>
      </w:r>
      <w:proofErr w:type="gramStart"/>
      <w:r>
        <w:rPr>
          <w:rFonts w:ascii="宋体" w:hAnsi="宋体" w:hint="eastAsia"/>
          <w:sz w:val="24"/>
        </w:rPr>
        <w:t>赎回</w:t>
      </w:r>
      <w:proofErr w:type="gramEnd"/>
      <w:r>
        <w:rPr>
          <w:rFonts w:ascii="宋体" w:hAnsi="宋体" w:hint="eastAsia"/>
          <w:sz w:val="24"/>
        </w:rPr>
        <w:t>款支付相应顺延。基金管理人、基金托管人和销售机构等不承担由此顺延造成的损失或不利后果。</w:t>
      </w:r>
    </w:p>
    <w:p w14:paraId="0BD40692"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3</w:t>
      </w:r>
      <w:r>
        <w:rPr>
          <w:rFonts w:ascii="宋体" w:hAnsi="宋体" w:hint="eastAsia"/>
          <w:sz w:val="24"/>
        </w:rPr>
        <w:t>、</w:t>
      </w:r>
      <w:r>
        <w:rPr>
          <w:rFonts w:ascii="宋体" w:hAnsi="宋体"/>
          <w:sz w:val="24"/>
        </w:rPr>
        <w:t>申购和赎回申请的确认</w:t>
      </w:r>
    </w:p>
    <w:p w14:paraId="600CC3A3"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基金管理人应以交易时间结束前受理</w:t>
      </w:r>
      <w:r>
        <w:rPr>
          <w:rFonts w:ascii="宋体" w:hAnsi="宋体" w:hint="eastAsia"/>
          <w:sz w:val="24"/>
        </w:rPr>
        <w:t>有效</w:t>
      </w:r>
      <w:r>
        <w:rPr>
          <w:rFonts w:ascii="宋体" w:hAnsi="宋体"/>
          <w:sz w:val="24"/>
        </w:rPr>
        <w:t>申购和赎回申请的当天作为申购或赎回申请日(T日)，在正常情况下，本基金登记机构在T+</w:t>
      </w:r>
      <w:r>
        <w:rPr>
          <w:rFonts w:ascii="宋体" w:hAnsi="宋体" w:hint="eastAsia"/>
          <w:sz w:val="24"/>
        </w:rPr>
        <w:t>1</w:t>
      </w:r>
      <w:r>
        <w:rPr>
          <w:rFonts w:ascii="宋体" w:hAnsi="宋体"/>
          <w:sz w:val="24"/>
        </w:rPr>
        <w:t>日内</w:t>
      </w:r>
      <w:r>
        <w:rPr>
          <w:rFonts w:ascii="宋体" w:hAnsi="宋体" w:hint="eastAsia"/>
          <w:sz w:val="24"/>
        </w:rPr>
        <w:t>（包括该日）</w:t>
      </w:r>
      <w:r>
        <w:rPr>
          <w:rFonts w:ascii="宋体" w:hAnsi="宋体"/>
          <w:sz w:val="24"/>
        </w:rPr>
        <w:t>对该交易的有效性进行确认。T日提交的有效申请，投资人</w:t>
      </w:r>
      <w:r>
        <w:rPr>
          <w:rFonts w:ascii="宋体" w:hAnsi="宋体" w:hint="eastAsia"/>
          <w:sz w:val="24"/>
        </w:rPr>
        <w:t>应</w:t>
      </w:r>
      <w:r>
        <w:rPr>
          <w:rFonts w:ascii="宋体" w:hAnsi="宋体"/>
          <w:sz w:val="24"/>
        </w:rPr>
        <w:t>在T+</w:t>
      </w:r>
      <w:r>
        <w:rPr>
          <w:rFonts w:ascii="宋体" w:hAnsi="宋体" w:hint="eastAsia"/>
          <w:sz w:val="24"/>
        </w:rPr>
        <w:t>2</w:t>
      </w:r>
      <w:r>
        <w:rPr>
          <w:rFonts w:ascii="宋体" w:hAnsi="宋体"/>
          <w:sz w:val="24"/>
        </w:rPr>
        <w:t>日后(包括该日)</w:t>
      </w:r>
      <w:r>
        <w:rPr>
          <w:rFonts w:ascii="宋体" w:hAnsi="宋体" w:hint="eastAsia"/>
          <w:sz w:val="24"/>
        </w:rPr>
        <w:t>及时</w:t>
      </w:r>
      <w:r>
        <w:rPr>
          <w:rFonts w:ascii="宋体" w:hAnsi="宋体"/>
          <w:sz w:val="24"/>
        </w:rPr>
        <w:t>到销售网点柜台或以销售机构规定的其他方式查询申请的确认情况。若申购不成功</w:t>
      </w:r>
      <w:r>
        <w:rPr>
          <w:rFonts w:ascii="宋体" w:hAnsi="宋体" w:hint="eastAsia"/>
          <w:sz w:val="24"/>
        </w:rPr>
        <w:t>或无效</w:t>
      </w:r>
      <w:r>
        <w:rPr>
          <w:rFonts w:ascii="宋体" w:hAnsi="宋体"/>
          <w:sz w:val="24"/>
        </w:rPr>
        <w:t>，则申购款项</w:t>
      </w:r>
      <w:r>
        <w:rPr>
          <w:rFonts w:ascii="宋体" w:hAnsi="宋体" w:hint="eastAsia"/>
          <w:sz w:val="24"/>
        </w:rPr>
        <w:t>本金</w:t>
      </w:r>
      <w:r>
        <w:rPr>
          <w:rFonts w:ascii="宋体" w:hAnsi="宋体"/>
          <w:sz w:val="24"/>
        </w:rPr>
        <w:t>退还给投资人。</w:t>
      </w:r>
    </w:p>
    <w:p w14:paraId="64BA31A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基金管理人可在法律法规允许的范围内，依法对上述业务办理时间进行调整，并在调整实施日前按照《信息披露办法》的有关规定在</w:t>
      </w:r>
      <w:r>
        <w:rPr>
          <w:rFonts w:ascii="宋体" w:hAnsi="宋体"/>
          <w:sz w:val="24"/>
        </w:rPr>
        <w:t>规定媒介</w:t>
      </w:r>
      <w:r>
        <w:rPr>
          <w:rFonts w:ascii="宋体" w:hAnsi="宋体" w:hint="eastAsia"/>
          <w:sz w:val="24"/>
        </w:rPr>
        <w:t>上公告并报中国证监会备案。</w:t>
      </w:r>
    </w:p>
    <w:p w14:paraId="5610EEE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销售机构对申购、赎回申请的受理并不代表申请一定成功，而仅代表销售机构确实接收到申请。申购、赎回申请的确认以登记机构的确认结果为准。对于申请的确认情况，投资人应及时查询并妥善行使合法权利。</w:t>
      </w:r>
      <w:bookmarkEnd w:id="241"/>
      <w:r>
        <w:rPr>
          <w:rFonts w:ascii="宋体" w:hAnsi="宋体" w:hint="eastAsia"/>
          <w:sz w:val="24"/>
        </w:rPr>
        <w:t>因投资人</w:t>
      </w:r>
      <w:proofErr w:type="gramStart"/>
      <w:r>
        <w:rPr>
          <w:rFonts w:ascii="宋体" w:hAnsi="宋体" w:hint="eastAsia"/>
          <w:sz w:val="24"/>
        </w:rPr>
        <w:t>怠</w:t>
      </w:r>
      <w:proofErr w:type="gramEnd"/>
      <w:r>
        <w:rPr>
          <w:rFonts w:ascii="宋体" w:hAnsi="宋体" w:hint="eastAsia"/>
          <w:sz w:val="24"/>
        </w:rPr>
        <w:t>于履行查询等各项义务，致使其相关权益受损的，基金管理人、基金托管人、销售机构不承担由此造成的损失或不利后果。</w:t>
      </w:r>
    </w:p>
    <w:p w14:paraId="62A8DB38" w14:textId="77777777" w:rsidR="008A6127" w:rsidRDefault="00437D9F">
      <w:pPr>
        <w:pStyle w:val="a9"/>
        <w:snapToGrid w:val="0"/>
        <w:ind w:firstLineChars="200" w:firstLine="482"/>
        <w:rPr>
          <w:rFonts w:ascii="宋体" w:hAnsi="宋体"/>
          <w:b/>
        </w:rPr>
      </w:pPr>
      <w:r>
        <w:rPr>
          <w:rFonts w:ascii="宋体" w:hAnsi="宋体" w:hint="eastAsia"/>
          <w:b/>
        </w:rPr>
        <w:t>（五）申购与赎回的数额限制</w:t>
      </w:r>
    </w:p>
    <w:p w14:paraId="02EED701"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本基金首次申购和追加申购的最低金额均为</w:t>
      </w:r>
      <w:r>
        <w:rPr>
          <w:rFonts w:ascii="宋体" w:hAnsi="宋体"/>
          <w:sz w:val="24"/>
        </w:rPr>
        <w:t>10</w:t>
      </w:r>
      <w:r>
        <w:rPr>
          <w:rFonts w:ascii="宋体" w:hAnsi="宋体" w:hint="eastAsia"/>
          <w:sz w:val="24"/>
        </w:rPr>
        <w:t>元，各销售机构在符合上述规定的前提下，可根据情况调高首次申购和追加申购的最低金额，具体以销售机构公布的为准，投资人需遵循销售机构的相关规定。本基金单笔赎回申请不低于1份，投资人全额赎回时不受上述限制。各销售机构在符合上述规定的前提下，可根据情况调高单笔最低赎回份额要求，具体以销售机构公布的为准，投资人需遵循销售机构的相关规定；</w:t>
      </w:r>
    </w:p>
    <w:p w14:paraId="1FBAE4CF" w14:textId="77777777" w:rsidR="008A6127" w:rsidRDefault="00437D9F">
      <w:pPr>
        <w:snapToGrid w:val="0"/>
        <w:spacing w:line="360" w:lineRule="auto"/>
        <w:ind w:firstLineChars="200" w:firstLine="480"/>
        <w:rPr>
          <w:rFonts w:ascii="宋体" w:hAnsi="宋体"/>
          <w:sz w:val="24"/>
        </w:rPr>
      </w:pPr>
      <w:r>
        <w:rPr>
          <w:rFonts w:ascii="宋体" w:hAnsi="宋体"/>
          <w:sz w:val="24"/>
        </w:rPr>
        <w:t>2、</w:t>
      </w:r>
      <w:bookmarkStart w:id="242" w:name="_Hlk1122884"/>
      <w:r>
        <w:rPr>
          <w:rFonts w:ascii="宋体" w:hAnsi="宋体"/>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规定请参见招募说明书</w:t>
      </w:r>
      <w:r>
        <w:rPr>
          <w:rFonts w:ascii="宋体" w:hAnsi="宋体" w:hint="eastAsia"/>
          <w:sz w:val="24"/>
        </w:rPr>
        <w:t>或相关公告</w:t>
      </w:r>
      <w:r>
        <w:rPr>
          <w:rFonts w:ascii="宋体" w:hAnsi="宋体"/>
          <w:sz w:val="24"/>
        </w:rPr>
        <w:t>。</w:t>
      </w:r>
      <w:bookmarkEnd w:id="242"/>
    </w:p>
    <w:p w14:paraId="5FE88974"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本基金不对投资</w:t>
      </w:r>
      <w:r>
        <w:rPr>
          <w:rFonts w:ascii="宋体" w:hAnsi="宋体"/>
          <w:sz w:val="24"/>
        </w:rPr>
        <w:t>人</w:t>
      </w:r>
      <w:r>
        <w:rPr>
          <w:rFonts w:ascii="宋体" w:hAnsi="宋体" w:hint="eastAsia"/>
          <w:sz w:val="24"/>
        </w:rPr>
        <w:t>每个交易账户的最低基金份额余额进行限制；</w:t>
      </w:r>
    </w:p>
    <w:p w14:paraId="76EE1715" w14:textId="77777777" w:rsidR="008A6127" w:rsidRDefault="00437D9F">
      <w:pPr>
        <w:snapToGrid w:val="0"/>
        <w:spacing w:line="360" w:lineRule="auto"/>
        <w:ind w:firstLineChars="200" w:firstLine="480"/>
        <w:rPr>
          <w:rFonts w:ascii="宋体" w:hAnsi="宋体"/>
          <w:sz w:val="24"/>
        </w:rPr>
      </w:pPr>
      <w:r>
        <w:rPr>
          <w:rFonts w:ascii="宋体" w:hAnsi="宋体"/>
          <w:sz w:val="24"/>
        </w:rPr>
        <w:t>4、本</w:t>
      </w:r>
      <w:r>
        <w:rPr>
          <w:rFonts w:ascii="宋体" w:hAnsi="宋体" w:hint="eastAsia"/>
          <w:sz w:val="24"/>
        </w:rPr>
        <w:t>基金不对单个投资</w:t>
      </w:r>
      <w:r>
        <w:rPr>
          <w:rFonts w:ascii="宋体" w:hAnsi="宋体"/>
          <w:sz w:val="24"/>
        </w:rPr>
        <w:t>人</w:t>
      </w:r>
      <w:r>
        <w:rPr>
          <w:rFonts w:ascii="宋体" w:hAnsi="宋体" w:hint="eastAsia"/>
          <w:sz w:val="24"/>
        </w:rPr>
        <w:t>累计持有的基金份额上限进行限制，但法律法规或监管要求另有规定的除外；</w:t>
      </w:r>
    </w:p>
    <w:p w14:paraId="26F868B5" w14:textId="77777777"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w:t>
      </w:r>
      <w:r>
        <w:rPr>
          <w:rFonts w:ascii="宋体" w:hAnsi="宋体"/>
          <w:sz w:val="24"/>
        </w:rPr>
        <w:t>基金管理人可在法律法规允许的情况下，调整上述规定申购金额和赎回</w:t>
      </w:r>
      <w:r>
        <w:rPr>
          <w:rFonts w:ascii="宋体" w:hAnsi="宋体"/>
          <w:sz w:val="24"/>
        </w:rPr>
        <w:lastRenderedPageBreak/>
        <w:t>份额的数量限制</w:t>
      </w:r>
      <w:r>
        <w:rPr>
          <w:rFonts w:ascii="宋体" w:hAnsi="宋体" w:hint="eastAsia"/>
          <w:sz w:val="24"/>
        </w:rPr>
        <w:t>、投资人每个基金交易账户的最低基金份额余额、单个投资人累计持有的基金份额上限等</w:t>
      </w:r>
      <w:r>
        <w:rPr>
          <w:rFonts w:ascii="宋体" w:hAnsi="宋体"/>
          <w:sz w:val="24"/>
        </w:rPr>
        <w:t>。基金管理人必须在调整</w:t>
      </w:r>
      <w:r>
        <w:rPr>
          <w:rFonts w:ascii="宋体" w:hAnsi="宋体" w:hint="eastAsia"/>
          <w:sz w:val="24"/>
        </w:rPr>
        <w:t>实施生效</w:t>
      </w:r>
      <w:r>
        <w:rPr>
          <w:rFonts w:ascii="宋体" w:hAnsi="宋体"/>
          <w:sz w:val="24"/>
        </w:rPr>
        <w:t>前依照《信息披露办法》的有关规定在规定媒介上公告并报中国证监会备案。</w:t>
      </w:r>
    </w:p>
    <w:p w14:paraId="22D5A6C5" w14:textId="77777777" w:rsidR="008A6127" w:rsidRDefault="00437D9F">
      <w:pPr>
        <w:pStyle w:val="a9"/>
        <w:snapToGrid w:val="0"/>
        <w:ind w:firstLineChars="200" w:firstLine="482"/>
        <w:rPr>
          <w:rFonts w:ascii="宋体" w:hAnsi="宋体"/>
          <w:b/>
        </w:rPr>
      </w:pPr>
      <w:r>
        <w:rPr>
          <w:rFonts w:ascii="宋体" w:hAnsi="宋体" w:hint="eastAsia"/>
          <w:b/>
        </w:rPr>
        <w:t>（六）申购费用和赎回费用</w:t>
      </w:r>
    </w:p>
    <w:p w14:paraId="796BA43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1、基金份额类别</w:t>
      </w:r>
    </w:p>
    <w:p w14:paraId="3186B05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本基金根据认购</w:t>
      </w:r>
      <w:r>
        <w:rPr>
          <w:rFonts w:ascii="宋体" w:hAnsi="宋体"/>
          <w:sz w:val="24"/>
        </w:rPr>
        <w:t>/</w:t>
      </w:r>
      <w:r>
        <w:rPr>
          <w:rFonts w:ascii="宋体" w:hAnsi="宋体" w:hint="eastAsia"/>
          <w:sz w:val="24"/>
        </w:rPr>
        <w:t>申购费、销售服务费收取方式差异，将基金份额分为不同的类别。在投资人认购/申购基金时收取认购/申购费用，但不从本类别基金资产中计</w:t>
      </w:r>
      <w:proofErr w:type="gramStart"/>
      <w:r>
        <w:rPr>
          <w:rFonts w:ascii="宋体" w:hAnsi="宋体" w:hint="eastAsia"/>
          <w:sz w:val="24"/>
        </w:rPr>
        <w:t>提销售</w:t>
      </w:r>
      <w:proofErr w:type="gramEnd"/>
      <w:r>
        <w:rPr>
          <w:rFonts w:ascii="宋体" w:hAnsi="宋体" w:hint="eastAsia"/>
          <w:sz w:val="24"/>
        </w:rPr>
        <w:t>服务费的基金份额，称为A类基金份额；在投资人认购/申购基金时不收取认购/申购费用，而是从本类别基金资产中计</w:t>
      </w:r>
      <w:proofErr w:type="gramStart"/>
      <w:r>
        <w:rPr>
          <w:rFonts w:ascii="宋体" w:hAnsi="宋体" w:hint="eastAsia"/>
          <w:sz w:val="24"/>
        </w:rPr>
        <w:t>提销售</w:t>
      </w:r>
      <w:proofErr w:type="gramEnd"/>
      <w:r>
        <w:rPr>
          <w:rFonts w:ascii="宋体" w:hAnsi="宋体" w:hint="eastAsia"/>
          <w:sz w:val="24"/>
        </w:rPr>
        <w:t>服务费的基金份额，称为C类基金份额。</w:t>
      </w:r>
    </w:p>
    <w:p w14:paraId="17289B0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本基金两类基金份额分别设置代码，分别计算并公布基金份额净值和基金份额累计净值。</w:t>
      </w:r>
    </w:p>
    <w:p w14:paraId="0BD1359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投资人可自行选择认购、申购的基金份额类别。</w:t>
      </w:r>
    </w:p>
    <w:p w14:paraId="7400A81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基金实际运作情况，在不违反法律法规、基金合同的约定以及对基金份额持有人利益无实质性不利影响的情况下，经与基金托管人协商一致，基金管理人在履行适当程序后可以增加或调整基金份额类别设置、停止某类基金份额类别的销售、降低基金销售服务费率水平、对基金份额分类办法及规则进行调整并在调整实施之日前依照《信息披露办法》的有关规定在</w:t>
      </w:r>
      <w:r>
        <w:rPr>
          <w:rFonts w:ascii="宋体" w:hAnsi="宋体"/>
          <w:sz w:val="24"/>
        </w:rPr>
        <w:t>规定媒介</w:t>
      </w:r>
      <w:r>
        <w:rPr>
          <w:rFonts w:ascii="宋体" w:hAnsi="宋体" w:hint="eastAsia"/>
          <w:sz w:val="24"/>
        </w:rPr>
        <w:t>上公告并报中国证监会备案，无需召开基金份额持有人大会。</w:t>
      </w:r>
    </w:p>
    <w:p w14:paraId="583E08FF"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申购费用</w:t>
      </w:r>
    </w:p>
    <w:p w14:paraId="5EEBFBC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本基金A类基金份额在申购时收取基金申购费用，C类基金份额不收取申购费用。投资人可以多次申购本基金，申购费用按每笔申购申请单独计算。</w:t>
      </w:r>
    </w:p>
    <w:p w14:paraId="1E26AC4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A类基金份额申购费率随申购金额的增加而递减，具体费率如下：</w:t>
      </w:r>
    </w:p>
    <w:tbl>
      <w:tblPr>
        <w:tblW w:w="6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3235"/>
      </w:tblGrid>
      <w:tr w:rsidR="008A6127" w14:paraId="6FD84488" w14:textId="77777777">
        <w:trPr>
          <w:trHeight w:val="442"/>
          <w:jc w:val="center"/>
        </w:trPr>
        <w:tc>
          <w:tcPr>
            <w:tcW w:w="2849" w:type="dxa"/>
            <w:vAlign w:val="center"/>
          </w:tcPr>
          <w:p w14:paraId="4CACE9DA" w14:textId="77777777" w:rsidR="008A6127" w:rsidRDefault="00437D9F">
            <w:pPr>
              <w:snapToGrid w:val="0"/>
              <w:spacing w:line="360" w:lineRule="auto"/>
              <w:jc w:val="center"/>
              <w:rPr>
                <w:rFonts w:ascii="宋体" w:hAnsi="宋体"/>
                <w:sz w:val="24"/>
              </w:rPr>
            </w:pPr>
            <w:r>
              <w:rPr>
                <w:rFonts w:ascii="宋体" w:hAnsi="宋体"/>
                <w:sz w:val="24"/>
              </w:rPr>
              <w:t>申购金额（M）</w:t>
            </w:r>
          </w:p>
        </w:tc>
        <w:tc>
          <w:tcPr>
            <w:tcW w:w="3235" w:type="dxa"/>
            <w:vAlign w:val="center"/>
          </w:tcPr>
          <w:p w14:paraId="20942EE8" w14:textId="77777777" w:rsidR="008A6127" w:rsidRDefault="00437D9F">
            <w:pPr>
              <w:snapToGrid w:val="0"/>
              <w:spacing w:line="360" w:lineRule="auto"/>
              <w:jc w:val="center"/>
              <w:rPr>
                <w:rFonts w:ascii="宋体" w:hAnsi="宋体"/>
                <w:sz w:val="24"/>
              </w:rPr>
            </w:pPr>
            <w:r>
              <w:rPr>
                <w:rFonts w:ascii="宋体" w:hAnsi="宋体"/>
                <w:sz w:val="24"/>
              </w:rPr>
              <w:t>申购费率</w:t>
            </w:r>
          </w:p>
        </w:tc>
      </w:tr>
      <w:tr w:rsidR="008A6127" w14:paraId="22B0ADC6" w14:textId="77777777">
        <w:tblPrEx>
          <w:tblBorders>
            <w:insideH w:val="none" w:sz="0" w:space="0" w:color="auto"/>
            <w:insideV w:val="none" w:sz="0" w:space="0" w:color="auto"/>
          </w:tblBorders>
        </w:tblPrEx>
        <w:trPr>
          <w:trHeight w:val="461"/>
          <w:jc w:val="center"/>
        </w:trPr>
        <w:tc>
          <w:tcPr>
            <w:tcW w:w="2849" w:type="dxa"/>
            <w:tcBorders>
              <w:top w:val="single" w:sz="4" w:space="0" w:color="auto"/>
              <w:left w:val="single" w:sz="4" w:space="0" w:color="auto"/>
              <w:bottom w:val="single" w:sz="4" w:space="0" w:color="auto"/>
              <w:right w:val="single" w:sz="4" w:space="0" w:color="auto"/>
            </w:tcBorders>
            <w:vAlign w:val="center"/>
          </w:tcPr>
          <w:p w14:paraId="56CA15D5" w14:textId="77777777" w:rsidR="008A6127" w:rsidRDefault="00437D9F">
            <w:pPr>
              <w:snapToGrid w:val="0"/>
              <w:spacing w:line="360" w:lineRule="auto"/>
              <w:jc w:val="center"/>
              <w:rPr>
                <w:rFonts w:ascii="宋体" w:hAnsi="宋体"/>
                <w:sz w:val="24"/>
              </w:rPr>
            </w:pPr>
            <w:r>
              <w:rPr>
                <w:rFonts w:ascii="宋体" w:hAnsi="宋体"/>
                <w:sz w:val="24"/>
              </w:rPr>
              <w:t>M＜100万</w:t>
            </w:r>
          </w:p>
        </w:tc>
        <w:tc>
          <w:tcPr>
            <w:tcW w:w="3235" w:type="dxa"/>
            <w:tcBorders>
              <w:top w:val="single" w:sz="4" w:space="0" w:color="auto"/>
              <w:left w:val="single" w:sz="4" w:space="0" w:color="auto"/>
              <w:bottom w:val="single" w:sz="4" w:space="0" w:color="auto"/>
              <w:right w:val="single" w:sz="4" w:space="0" w:color="auto"/>
            </w:tcBorders>
            <w:vAlign w:val="center"/>
          </w:tcPr>
          <w:p w14:paraId="21B4731C" w14:textId="77777777" w:rsidR="008A6127" w:rsidRDefault="00437D9F">
            <w:pPr>
              <w:snapToGrid w:val="0"/>
              <w:spacing w:line="360" w:lineRule="auto"/>
              <w:jc w:val="center"/>
              <w:rPr>
                <w:rFonts w:ascii="宋体" w:hAnsi="宋体"/>
                <w:sz w:val="24"/>
              </w:rPr>
            </w:pPr>
            <w:r>
              <w:rPr>
                <w:rFonts w:ascii="宋体" w:hAnsi="宋体" w:hint="eastAsia"/>
                <w:sz w:val="24"/>
              </w:rPr>
              <w:t>1.5</w:t>
            </w:r>
            <w:r>
              <w:rPr>
                <w:rFonts w:ascii="宋体" w:hAnsi="宋体"/>
                <w:sz w:val="24"/>
              </w:rPr>
              <w:t>0</w:t>
            </w:r>
            <w:r>
              <w:rPr>
                <w:rFonts w:ascii="宋体" w:hAnsi="宋体" w:hint="eastAsia"/>
                <w:sz w:val="24"/>
              </w:rPr>
              <w:t>%</w:t>
            </w:r>
          </w:p>
        </w:tc>
      </w:tr>
      <w:tr w:rsidR="008A6127" w14:paraId="50CCFDE2" w14:textId="77777777">
        <w:tblPrEx>
          <w:tblBorders>
            <w:insideH w:val="none" w:sz="0" w:space="0" w:color="auto"/>
            <w:insideV w:val="none" w:sz="0" w:space="0" w:color="auto"/>
          </w:tblBorders>
        </w:tblPrEx>
        <w:trPr>
          <w:trHeight w:val="465"/>
          <w:jc w:val="center"/>
        </w:trPr>
        <w:tc>
          <w:tcPr>
            <w:tcW w:w="2849" w:type="dxa"/>
            <w:tcBorders>
              <w:top w:val="single" w:sz="4" w:space="0" w:color="auto"/>
              <w:left w:val="single" w:sz="4" w:space="0" w:color="auto"/>
              <w:bottom w:val="single" w:sz="4" w:space="0" w:color="auto"/>
              <w:right w:val="single" w:sz="4" w:space="0" w:color="auto"/>
            </w:tcBorders>
            <w:vAlign w:val="center"/>
          </w:tcPr>
          <w:p w14:paraId="6F074C09" w14:textId="77777777" w:rsidR="008A6127" w:rsidRDefault="00437D9F">
            <w:pPr>
              <w:snapToGrid w:val="0"/>
              <w:spacing w:line="360" w:lineRule="auto"/>
              <w:jc w:val="center"/>
              <w:rPr>
                <w:rFonts w:ascii="宋体" w:hAnsi="宋体"/>
                <w:sz w:val="24"/>
              </w:rPr>
            </w:pPr>
            <w:r>
              <w:rPr>
                <w:rFonts w:ascii="宋体" w:hAnsi="宋体"/>
                <w:sz w:val="24"/>
              </w:rPr>
              <w:t>100万≤M＜500万</w:t>
            </w:r>
          </w:p>
        </w:tc>
        <w:tc>
          <w:tcPr>
            <w:tcW w:w="3235" w:type="dxa"/>
            <w:tcBorders>
              <w:top w:val="single" w:sz="4" w:space="0" w:color="auto"/>
              <w:left w:val="single" w:sz="4" w:space="0" w:color="auto"/>
              <w:bottom w:val="single" w:sz="4" w:space="0" w:color="auto"/>
              <w:right w:val="single" w:sz="4" w:space="0" w:color="auto"/>
            </w:tcBorders>
            <w:vAlign w:val="center"/>
          </w:tcPr>
          <w:p w14:paraId="05FCDD93" w14:textId="77777777" w:rsidR="008A6127" w:rsidRDefault="00437D9F">
            <w:pPr>
              <w:snapToGrid w:val="0"/>
              <w:spacing w:line="360" w:lineRule="auto"/>
              <w:jc w:val="center"/>
              <w:rPr>
                <w:rFonts w:ascii="宋体" w:hAnsi="宋体"/>
                <w:sz w:val="24"/>
              </w:rPr>
            </w:pPr>
            <w:r>
              <w:rPr>
                <w:rFonts w:ascii="宋体" w:hAnsi="宋体" w:hint="eastAsia"/>
                <w:sz w:val="24"/>
              </w:rPr>
              <w:t>1.0</w:t>
            </w:r>
            <w:r>
              <w:rPr>
                <w:rFonts w:ascii="宋体" w:hAnsi="宋体"/>
                <w:sz w:val="24"/>
              </w:rPr>
              <w:t>0</w:t>
            </w:r>
            <w:r>
              <w:rPr>
                <w:rFonts w:ascii="宋体" w:hAnsi="宋体" w:hint="eastAsia"/>
                <w:sz w:val="24"/>
              </w:rPr>
              <w:t>%</w:t>
            </w:r>
          </w:p>
        </w:tc>
      </w:tr>
      <w:tr w:rsidR="008A6127" w14:paraId="4BD006C6" w14:textId="77777777">
        <w:tblPrEx>
          <w:tblBorders>
            <w:insideH w:val="none" w:sz="0" w:space="0" w:color="auto"/>
            <w:insideV w:val="none" w:sz="0" w:space="0" w:color="auto"/>
          </w:tblBorders>
        </w:tblPrEx>
        <w:trPr>
          <w:trHeight w:val="451"/>
          <w:jc w:val="center"/>
        </w:trPr>
        <w:tc>
          <w:tcPr>
            <w:tcW w:w="2849" w:type="dxa"/>
            <w:tcBorders>
              <w:top w:val="single" w:sz="4" w:space="0" w:color="auto"/>
              <w:left w:val="single" w:sz="4" w:space="0" w:color="auto"/>
              <w:bottom w:val="single" w:sz="4" w:space="0" w:color="auto"/>
              <w:right w:val="single" w:sz="4" w:space="0" w:color="auto"/>
            </w:tcBorders>
            <w:vAlign w:val="center"/>
          </w:tcPr>
          <w:p w14:paraId="6334AAC1" w14:textId="77777777" w:rsidR="008A6127" w:rsidRDefault="00437D9F">
            <w:pPr>
              <w:snapToGrid w:val="0"/>
              <w:spacing w:line="360" w:lineRule="auto"/>
              <w:jc w:val="center"/>
              <w:rPr>
                <w:rFonts w:ascii="宋体" w:hAnsi="宋体"/>
                <w:sz w:val="24"/>
              </w:rPr>
            </w:pPr>
            <w:r>
              <w:rPr>
                <w:rFonts w:ascii="宋体" w:hAnsi="宋体"/>
                <w:sz w:val="24"/>
              </w:rPr>
              <w:t>M≥500万</w:t>
            </w:r>
          </w:p>
        </w:tc>
        <w:tc>
          <w:tcPr>
            <w:tcW w:w="3235" w:type="dxa"/>
            <w:tcBorders>
              <w:top w:val="single" w:sz="4" w:space="0" w:color="auto"/>
              <w:left w:val="single" w:sz="4" w:space="0" w:color="auto"/>
              <w:bottom w:val="single" w:sz="4" w:space="0" w:color="auto"/>
              <w:right w:val="single" w:sz="4" w:space="0" w:color="auto"/>
            </w:tcBorders>
            <w:vAlign w:val="center"/>
          </w:tcPr>
          <w:p w14:paraId="76879E47" w14:textId="77777777" w:rsidR="008A6127" w:rsidRDefault="00437D9F">
            <w:pPr>
              <w:snapToGrid w:val="0"/>
              <w:spacing w:line="360" w:lineRule="auto"/>
              <w:jc w:val="center"/>
              <w:rPr>
                <w:rFonts w:ascii="宋体" w:hAnsi="宋体"/>
                <w:sz w:val="24"/>
              </w:rPr>
            </w:pPr>
            <w:r>
              <w:rPr>
                <w:rFonts w:ascii="宋体" w:hAnsi="宋体" w:hint="eastAsia"/>
                <w:sz w:val="24"/>
              </w:rPr>
              <w:t>每笔1000元</w:t>
            </w:r>
          </w:p>
        </w:tc>
      </w:tr>
    </w:tbl>
    <w:p w14:paraId="06A0B2E0" w14:textId="77777777" w:rsidR="008A6127" w:rsidRDefault="00437D9F">
      <w:pPr>
        <w:snapToGrid w:val="0"/>
        <w:spacing w:line="360" w:lineRule="auto"/>
        <w:ind w:firstLineChars="200" w:firstLine="480"/>
        <w:rPr>
          <w:rFonts w:ascii="宋体" w:hAnsi="宋体"/>
          <w:sz w:val="24"/>
        </w:rPr>
      </w:pPr>
      <w:r>
        <w:rPr>
          <w:rFonts w:ascii="宋体" w:hAnsi="宋体"/>
          <w:sz w:val="24"/>
        </w:rPr>
        <w:t>投资人重复申购，须按每次申购所对应的费率档次分别计费。</w:t>
      </w:r>
    </w:p>
    <w:p w14:paraId="5DFADFCA" w14:textId="77777777" w:rsidR="008A6127" w:rsidRDefault="00437D9F">
      <w:pPr>
        <w:snapToGrid w:val="0"/>
        <w:spacing w:line="360" w:lineRule="auto"/>
        <w:ind w:firstLineChars="200" w:firstLine="480"/>
        <w:rPr>
          <w:rFonts w:ascii="宋体" w:hAnsi="宋体"/>
          <w:sz w:val="24"/>
        </w:rPr>
      </w:pPr>
      <w:r>
        <w:rPr>
          <w:rFonts w:ascii="宋体" w:hAnsi="宋体"/>
          <w:sz w:val="24"/>
        </w:rPr>
        <w:t>申购费用由</w:t>
      </w:r>
      <w:r>
        <w:rPr>
          <w:rFonts w:ascii="宋体" w:hAnsi="宋体" w:hint="eastAsia"/>
          <w:sz w:val="24"/>
        </w:rPr>
        <w:t>投资人</w:t>
      </w:r>
      <w:r>
        <w:rPr>
          <w:rFonts w:ascii="宋体" w:hAnsi="宋体"/>
          <w:sz w:val="24"/>
        </w:rPr>
        <w:t>承担，不列入基金财产，主要用于本基金的市场推广、销售、登记等各项费用。</w:t>
      </w:r>
    </w:p>
    <w:p w14:paraId="7C682CDC"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3</w:t>
      </w:r>
      <w:r>
        <w:rPr>
          <w:rFonts w:ascii="宋体" w:hAnsi="宋体" w:hint="eastAsia"/>
          <w:sz w:val="24"/>
        </w:rPr>
        <w:t>、赎回费用</w:t>
      </w:r>
    </w:p>
    <w:p w14:paraId="438DE40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bookmarkStart w:id="243" w:name="_Hlk974702"/>
      <w:r>
        <w:rPr>
          <w:rFonts w:ascii="宋体" w:hAnsi="宋体" w:hint="eastAsia"/>
          <w:sz w:val="24"/>
        </w:rPr>
        <w:t>本基金A类基金份额赎回费率</w:t>
      </w:r>
      <w:bookmarkEnd w:id="243"/>
    </w:p>
    <w:p w14:paraId="35713D1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本基金A 类基金份额赎回费率如下：</w:t>
      </w:r>
    </w:p>
    <w:tbl>
      <w:tblPr>
        <w:tblW w:w="6503" w:type="dxa"/>
        <w:jc w:val="center"/>
        <w:tblCellMar>
          <w:left w:w="0" w:type="dxa"/>
          <w:right w:w="0" w:type="dxa"/>
        </w:tblCellMar>
        <w:tblLook w:val="04A0" w:firstRow="1" w:lastRow="0" w:firstColumn="1" w:lastColumn="0" w:noHBand="0" w:noVBand="1"/>
      </w:tblPr>
      <w:tblGrid>
        <w:gridCol w:w="3503"/>
        <w:gridCol w:w="3000"/>
      </w:tblGrid>
      <w:tr w:rsidR="008A6127" w14:paraId="675C9C7D"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441EB81" w14:textId="77777777" w:rsidR="008A6127" w:rsidRDefault="00437D9F">
            <w:pPr>
              <w:snapToGrid w:val="0"/>
              <w:spacing w:line="360" w:lineRule="auto"/>
              <w:jc w:val="center"/>
              <w:rPr>
                <w:rFonts w:ascii="宋体" w:hAnsi="宋体"/>
                <w:sz w:val="24"/>
              </w:rPr>
            </w:pPr>
            <w:r>
              <w:rPr>
                <w:rFonts w:ascii="宋体" w:hAnsi="宋体" w:hint="eastAsia"/>
                <w:sz w:val="24"/>
              </w:rPr>
              <w:t>持有期限（</w:t>
            </w:r>
            <w:r>
              <w:rPr>
                <w:rFonts w:ascii="宋体" w:hAnsi="宋体"/>
                <w:sz w:val="24"/>
              </w:rPr>
              <w:t>N</w:t>
            </w:r>
            <w:r>
              <w:rPr>
                <w:rFonts w:ascii="宋体" w:hAnsi="宋体" w:hint="eastAsia"/>
                <w:sz w:val="24"/>
              </w:rPr>
              <w:t>）</w:t>
            </w:r>
          </w:p>
        </w:tc>
        <w:tc>
          <w:tcPr>
            <w:tcW w:w="30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FF4A4A0" w14:textId="77777777" w:rsidR="008A6127" w:rsidRDefault="00437D9F">
            <w:pPr>
              <w:snapToGrid w:val="0"/>
              <w:spacing w:line="360" w:lineRule="auto"/>
              <w:jc w:val="center"/>
              <w:rPr>
                <w:rFonts w:ascii="宋体" w:hAnsi="宋体"/>
                <w:sz w:val="24"/>
              </w:rPr>
            </w:pPr>
            <w:r>
              <w:rPr>
                <w:rFonts w:ascii="宋体" w:hAnsi="宋体" w:hint="eastAsia"/>
                <w:sz w:val="24"/>
              </w:rPr>
              <w:t>A类基金份额赎回费率</w:t>
            </w:r>
          </w:p>
        </w:tc>
      </w:tr>
      <w:tr w:rsidR="008A6127" w14:paraId="58C0D990"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6EC45BE" w14:textId="77777777" w:rsidR="008A6127" w:rsidRDefault="00437D9F">
            <w:pPr>
              <w:snapToGrid w:val="0"/>
              <w:spacing w:line="360" w:lineRule="auto"/>
              <w:jc w:val="center"/>
              <w:rPr>
                <w:rFonts w:ascii="宋体" w:hAnsi="宋体"/>
                <w:sz w:val="24"/>
              </w:rPr>
            </w:pPr>
            <w:r>
              <w:rPr>
                <w:rFonts w:ascii="宋体" w:hAnsi="宋体" w:hint="eastAsia"/>
                <w:sz w:val="24"/>
              </w:rPr>
              <w:t>N＜7日</w:t>
            </w:r>
          </w:p>
        </w:tc>
        <w:tc>
          <w:tcPr>
            <w:tcW w:w="30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13C7E2A" w14:textId="77777777" w:rsidR="008A6127" w:rsidRDefault="00437D9F">
            <w:pPr>
              <w:snapToGrid w:val="0"/>
              <w:spacing w:line="360" w:lineRule="auto"/>
              <w:jc w:val="center"/>
              <w:rPr>
                <w:rFonts w:ascii="宋体" w:hAnsi="宋体"/>
                <w:sz w:val="24"/>
              </w:rPr>
            </w:pPr>
            <w:r>
              <w:rPr>
                <w:rFonts w:ascii="宋体" w:hAnsi="宋体" w:hint="eastAsia"/>
                <w:sz w:val="24"/>
              </w:rPr>
              <w:t>1.50%</w:t>
            </w:r>
          </w:p>
        </w:tc>
      </w:tr>
      <w:tr w:rsidR="008A6127" w14:paraId="37770BB8"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9674E03" w14:textId="77777777" w:rsidR="008A6127" w:rsidRDefault="00437D9F">
            <w:pPr>
              <w:snapToGrid w:val="0"/>
              <w:spacing w:line="360" w:lineRule="auto"/>
              <w:jc w:val="center"/>
              <w:rPr>
                <w:rFonts w:ascii="宋体" w:hAnsi="宋体"/>
                <w:sz w:val="24"/>
              </w:rPr>
            </w:pPr>
            <w:r>
              <w:rPr>
                <w:rFonts w:ascii="宋体" w:hAnsi="宋体" w:hint="eastAsia"/>
                <w:sz w:val="24"/>
              </w:rPr>
              <w:t>7日≤N＜30日</w:t>
            </w:r>
          </w:p>
        </w:tc>
        <w:tc>
          <w:tcPr>
            <w:tcW w:w="30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B28CE17" w14:textId="77777777" w:rsidR="008A6127" w:rsidRDefault="00437D9F">
            <w:pPr>
              <w:snapToGrid w:val="0"/>
              <w:spacing w:line="360" w:lineRule="auto"/>
              <w:jc w:val="center"/>
              <w:rPr>
                <w:rFonts w:ascii="宋体" w:hAnsi="宋体"/>
                <w:sz w:val="24"/>
              </w:rPr>
            </w:pPr>
            <w:r>
              <w:rPr>
                <w:rFonts w:ascii="宋体" w:hAnsi="宋体" w:hint="eastAsia"/>
                <w:sz w:val="24"/>
              </w:rPr>
              <w:t>0.75%</w:t>
            </w:r>
          </w:p>
        </w:tc>
      </w:tr>
      <w:tr w:rsidR="008A6127" w14:paraId="27FFF9D3"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D0950A2" w14:textId="77777777" w:rsidR="008A6127" w:rsidRDefault="00437D9F">
            <w:pPr>
              <w:snapToGrid w:val="0"/>
              <w:spacing w:line="360" w:lineRule="auto"/>
              <w:jc w:val="center"/>
              <w:rPr>
                <w:rFonts w:ascii="宋体" w:hAnsi="宋体"/>
                <w:sz w:val="24"/>
              </w:rPr>
            </w:pPr>
            <w:r>
              <w:rPr>
                <w:rFonts w:ascii="宋体" w:hAnsi="宋体" w:hint="eastAsia"/>
                <w:sz w:val="24"/>
              </w:rPr>
              <w:t>30日≤N＜</w:t>
            </w:r>
            <w:r>
              <w:rPr>
                <w:rFonts w:ascii="宋体" w:hAnsi="宋体"/>
                <w:sz w:val="24"/>
              </w:rPr>
              <w:t>365</w:t>
            </w:r>
            <w:r>
              <w:rPr>
                <w:rFonts w:ascii="宋体" w:hAnsi="宋体" w:hint="eastAsia"/>
                <w:sz w:val="24"/>
              </w:rPr>
              <w:t>日</w:t>
            </w:r>
          </w:p>
        </w:tc>
        <w:tc>
          <w:tcPr>
            <w:tcW w:w="30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96738EF" w14:textId="77777777" w:rsidR="008A6127" w:rsidRDefault="00437D9F">
            <w:pPr>
              <w:snapToGrid w:val="0"/>
              <w:spacing w:line="360" w:lineRule="auto"/>
              <w:jc w:val="center"/>
              <w:rPr>
                <w:rFonts w:ascii="宋体" w:hAnsi="宋体"/>
                <w:sz w:val="24"/>
              </w:rPr>
            </w:pPr>
            <w:r>
              <w:rPr>
                <w:rFonts w:ascii="宋体" w:hAnsi="宋体" w:hint="eastAsia"/>
                <w:sz w:val="24"/>
              </w:rPr>
              <w:t>0.50%</w:t>
            </w:r>
          </w:p>
        </w:tc>
      </w:tr>
      <w:tr w:rsidR="008A6127" w14:paraId="453320FE"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21FD4B1" w14:textId="77777777" w:rsidR="008A6127" w:rsidRDefault="00437D9F">
            <w:pPr>
              <w:snapToGrid w:val="0"/>
              <w:spacing w:line="360" w:lineRule="auto"/>
              <w:jc w:val="center"/>
              <w:rPr>
                <w:rFonts w:ascii="宋体" w:hAnsi="宋体"/>
                <w:sz w:val="24"/>
              </w:rPr>
            </w:pPr>
            <w:r>
              <w:rPr>
                <w:rFonts w:ascii="宋体" w:hAnsi="宋体"/>
                <w:sz w:val="24"/>
              </w:rPr>
              <w:t>365</w:t>
            </w:r>
            <w:r>
              <w:rPr>
                <w:rFonts w:ascii="宋体" w:hAnsi="宋体" w:hint="eastAsia"/>
                <w:sz w:val="24"/>
              </w:rPr>
              <w:t>日≤N＜</w:t>
            </w:r>
            <w:r>
              <w:rPr>
                <w:rFonts w:ascii="宋体" w:hAnsi="宋体"/>
                <w:sz w:val="24"/>
              </w:rPr>
              <w:t>730</w:t>
            </w:r>
            <w:r>
              <w:rPr>
                <w:rFonts w:ascii="宋体" w:hAnsi="宋体" w:hint="eastAsia"/>
                <w:sz w:val="24"/>
              </w:rPr>
              <w:t>日</w:t>
            </w:r>
          </w:p>
        </w:tc>
        <w:tc>
          <w:tcPr>
            <w:tcW w:w="30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A2F5741" w14:textId="77777777" w:rsidR="008A6127" w:rsidRDefault="00437D9F">
            <w:pPr>
              <w:snapToGrid w:val="0"/>
              <w:spacing w:line="360" w:lineRule="auto"/>
              <w:jc w:val="center"/>
              <w:rPr>
                <w:rFonts w:ascii="宋体" w:hAnsi="宋体"/>
                <w:sz w:val="24"/>
              </w:rPr>
            </w:pPr>
            <w:r>
              <w:rPr>
                <w:rFonts w:ascii="宋体" w:hAnsi="宋体" w:hint="eastAsia"/>
                <w:sz w:val="24"/>
              </w:rPr>
              <w:t>0.</w:t>
            </w:r>
            <w:r>
              <w:rPr>
                <w:rFonts w:ascii="宋体" w:hAnsi="宋体"/>
                <w:sz w:val="24"/>
              </w:rPr>
              <w:t>25</w:t>
            </w:r>
            <w:r>
              <w:rPr>
                <w:rFonts w:ascii="宋体" w:hAnsi="宋体" w:hint="eastAsia"/>
                <w:sz w:val="24"/>
              </w:rPr>
              <w:t>%</w:t>
            </w:r>
          </w:p>
        </w:tc>
      </w:tr>
      <w:tr w:rsidR="008A6127" w14:paraId="34BED89F"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5859BF2" w14:textId="77777777" w:rsidR="008A6127" w:rsidRDefault="00437D9F">
            <w:pPr>
              <w:snapToGrid w:val="0"/>
              <w:spacing w:line="360" w:lineRule="auto"/>
              <w:jc w:val="center"/>
              <w:rPr>
                <w:rFonts w:ascii="宋体" w:hAnsi="宋体"/>
                <w:sz w:val="24"/>
              </w:rPr>
            </w:pPr>
            <w:r>
              <w:rPr>
                <w:rFonts w:ascii="宋体" w:hAnsi="宋体" w:hint="eastAsia"/>
                <w:sz w:val="24"/>
              </w:rPr>
              <w:t>N≥</w:t>
            </w:r>
            <w:r>
              <w:rPr>
                <w:rFonts w:ascii="宋体" w:hAnsi="宋体"/>
                <w:sz w:val="24"/>
              </w:rPr>
              <w:t>730</w:t>
            </w:r>
            <w:r>
              <w:rPr>
                <w:rFonts w:ascii="宋体" w:hAnsi="宋体" w:hint="eastAsia"/>
                <w:sz w:val="24"/>
              </w:rPr>
              <w:t>日</w:t>
            </w:r>
          </w:p>
        </w:tc>
        <w:tc>
          <w:tcPr>
            <w:tcW w:w="30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1BC6D6E" w14:textId="77777777" w:rsidR="008A6127" w:rsidRDefault="00437D9F">
            <w:pPr>
              <w:snapToGrid w:val="0"/>
              <w:spacing w:line="360" w:lineRule="auto"/>
              <w:jc w:val="center"/>
              <w:rPr>
                <w:rFonts w:ascii="宋体" w:hAnsi="宋体"/>
                <w:sz w:val="24"/>
              </w:rPr>
            </w:pPr>
            <w:r>
              <w:rPr>
                <w:rFonts w:ascii="宋体" w:hAnsi="宋体" w:hint="eastAsia"/>
                <w:sz w:val="24"/>
              </w:rPr>
              <w:t>0.00%</w:t>
            </w:r>
          </w:p>
        </w:tc>
      </w:tr>
    </w:tbl>
    <w:p w14:paraId="1889266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w:t>
      </w:r>
      <w:r>
        <w:rPr>
          <w:rFonts w:ascii="宋体" w:hAnsi="宋体"/>
          <w:sz w:val="24"/>
        </w:rPr>
        <w:t xml:space="preserve">A </w:t>
      </w:r>
      <w:r>
        <w:rPr>
          <w:rFonts w:ascii="宋体" w:hAnsi="宋体" w:hint="eastAsia"/>
          <w:sz w:val="24"/>
        </w:rPr>
        <w:t>类基金份额的赎回费用由赎回</w:t>
      </w:r>
      <w:r>
        <w:rPr>
          <w:rFonts w:ascii="宋体" w:hAnsi="宋体"/>
          <w:sz w:val="24"/>
        </w:rPr>
        <w:t xml:space="preserve">A </w:t>
      </w:r>
      <w:r>
        <w:rPr>
          <w:rFonts w:ascii="宋体" w:hAnsi="宋体" w:hint="eastAsia"/>
          <w:sz w:val="24"/>
        </w:rPr>
        <w:t>类基金份额的基金份额持有人承担，在基金份额持有人赎回</w:t>
      </w:r>
      <w:r>
        <w:rPr>
          <w:rFonts w:ascii="宋体" w:hAnsi="宋体"/>
          <w:sz w:val="24"/>
        </w:rPr>
        <w:t xml:space="preserve">A </w:t>
      </w:r>
      <w:r>
        <w:rPr>
          <w:rFonts w:ascii="宋体" w:hAnsi="宋体" w:hint="eastAsia"/>
          <w:sz w:val="24"/>
        </w:rPr>
        <w:t>类基金份额时收取，对持有期少于</w:t>
      </w:r>
      <w:r>
        <w:rPr>
          <w:rFonts w:ascii="宋体" w:hAnsi="宋体"/>
          <w:sz w:val="24"/>
        </w:rPr>
        <w:t xml:space="preserve">30 </w:t>
      </w:r>
      <w:r>
        <w:rPr>
          <w:rFonts w:ascii="宋体" w:hAnsi="宋体" w:hint="eastAsia"/>
          <w:sz w:val="24"/>
        </w:rPr>
        <w:t>天（不含）的</w:t>
      </w:r>
      <w:r>
        <w:rPr>
          <w:rFonts w:ascii="宋体" w:hAnsi="宋体"/>
          <w:sz w:val="24"/>
        </w:rPr>
        <w:t xml:space="preserve">A </w:t>
      </w:r>
      <w:r>
        <w:rPr>
          <w:rFonts w:ascii="宋体" w:hAnsi="宋体" w:hint="eastAsia"/>
          <w:sz w:val="24"/>
        </w:rPr>
        <w:t>类基金份额持有人所收取赎回费用全额计入基金财产；对持有期在</w:t>
      </w:r>
      <w:r>
        <w:rPr>
          <w:rFonts w:ascii="宋体" w:hAnsi="宋体"/>
          <w:sz w:val="24"/>
        </w:rPr>
        <w:t xml:space="preserve">30 </w:t>
      </w:r>
      <w:r>
        <w:rPr>
          <w:rFonts w:ascii="宋体" w:hAnsi="宋体" w:hint="eastAsia"/>
          <w:sz w:val="24"/>
        </w:rPr>
        <w:t>天以上（含）且少于</w:t>
      </w:r>
      <w:r>
        <w:rPr>
          <w:rFonts w:ascii="宋体" w:hAnsi="宋体"/>
          <w:sz w:val="24"/>
        </w:rPr>
        <w:t xml:space="preserve">90 </w:t>
      </w:r>
      <w:r>
        <w:rPr>
          <w:rFonts w:ascii="宋体" w:hAnsi="宋体" w:hint="eastAsia"/>
          <w:sz w:val="24"/>
        </w:rPr>
        <w:t>天（不含）的</w:t>
      </w:r>
      <w:r>
        <w:rPr>
          <w:rFonts w:ascii="宋体" w:hAnsi="宋体"/>
          <w:sz w:val="24"/>
        </w:rPr>
        <w:t xml:space="preserve">A </w:t>
      </w:r>
      <w:r>
        <w:rPr>
          <w:rFonts w:ascii="宋体" w:hAnsi="宋体" w:hint="eastAsia"/>
          <w:sz w:val="24"/>
        </w:rPr>
        <w:t>类基金份额持有人所收取赎回费用总额的</w:t>
      </w:r>
      <w:r>
        <w:rPr>
          <w:rFonts w:ascii="宋体" w:hAnsi="宋体"/>
          <w:sz w:val="24"/>
        </w:rPr>
        <w:t>75%</w:t>
      </w:r>
      <w:r>
        <w:rPr>
          <w:rFonts w:ascii="宋体" w:hAnsi="宋体" w:hint="eastAsia"/>
          <w:sz w:val="24"/>
        </w:rPr>
        <w:t>计入基金财产；对持有期在</w:t>
      </w:r>
      <w:r>
        <w:rPr>
          <w:rFonts w:ascii="宋体" w:hAnsi="宋体"/>
          <w:sz w:val="24"/>
        </w:rPr>
        <w:t xml:space="preserve">90 </w:t>
      </w:r>
      <w:r>
        <w:rPr>
          <w:rFonts w:ascii="宋体" w:hAnsi="宋体" w:hint="eastAsia"/>
          <w:sz w:val="24"/>
        </w:rPr>
        <w:t>天以上（含）且少于</w:t>
      </w:r>
      <w:r>
        <w:rPr>
          <w:rFonts w:ascii="宋体" w:hAnsi="宋体"/>
          <w:sz w:val="24"/>
        </w:rPr>
        <w:t xml:space="preserve">180 </w:t>
      </w:r>
      <w:r>
        <w:rPr>
          <w:rFonts w:ascii="宋体" w:hAnsi="宋体" w:hint="eastAsia"/>
          <w:sz w:val="24"/>
        </w:rPr>
        <w:t>天（不含）的</w:t>
      </w:r>
      <w:r>
        <w:rPr>
          <w:rFonts w:ascii="宋体" w:hAnsi="宋体"/>
          <w:sz w:val="24"/>
        </w:rPr>
        <w:t xml:space="preserve">A </w:t>
      </w:r>
      <w:r>
        <w:rPr>
          <w:rFonts w:ascii="宋体" w:hAnsi="宋体" w:hint="eastAsia"/>
          <w:sz w:val="24"/>
        </w:rPr>
        <w:t>类基金份额持有人所收取赎回费用总额的</w:t>
      </w:r>
      <w:r>
        <w:rPr>
          <w:rFonts w:ascii="宋体" w:hAnsi="宋体"/>
          <w:sz w:val="24"/>
        </w:rPr>
        <w:t>50%</w:t>
      </w:r>
      <w:r>
        <w:rPr>
          <w:rFonts w:ascii="宋体" w:hAnsi="宋体" w:hint="eastAsia"/>
          <w:sz w:val="24"/>
        </w:rPr>
        <w:t>计入基金财产；对持续持有期</w:t>
      </w:r>
      <w:r>
        <w:rPr>
          <w:rFonts w:ascii="宋体" w:hAnsi="宋体"/>
          <w:sz w:val="24"/>
        </w:rPr>
        <w:t xml:space="preserve">180 </w:t>
      </w:r>
      <w:r>
        <w:rPr>
          <w:rFonts w:ascii="宋体" w:hAnsi="宋体" w:hint="eastAsia"/>
          <w:sz w:val="24"/>
        </w:rPr>
        <w:t>天以上（含）的</w:t>
      </w:r>
      <w:r>
        <w:rPr>
          <w:rFonts w:ascii="宋体" w:hAnsi="宋体"/>
          <w:sz w:val="24"/>
        </w:rPr>
        <w:t xml:space="preserve">A </w:t>
      </w:r>
      <w:r>
        <w:rPr>
          <w:rFonts w:ascii="宋体" w:hAnsi="宋体" w:hint="eastAsia"/>
          <w:sz w:val="24"/>
        </w:rPr>
        <w:t>类基金份额持有人所收取赎回费用总额的</w:t>
      </w:r>
      <w:r>
        <w:rPr>
          <w:rFonts w:ascii="宋体" w:hAnsi="宋体"/>
          <w:sz w:val="24"/>
        </w:rPr>
        <w:t>25%</w:t>
      </w:r>
      <w:r>
        <w:rPr>
          <w:rFonts w:ascii="宋体" w:hAnsi="宋体" w:hint="eastAsia"/>
          <w:sz w:val="24"/>
        </w:rPr>
        <w:t>计入基金财产。未归入基金财产的部分用于支付登记费和其他必要的手续费。</w:t>
      </w:r>
    </w:p>
    <w:p w14:paraId="60940C3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（2）本基金</w:t>
      </w:r>
      <w:r>
        <w:rPr>
          <w:rFonts w:ascii="宋体" w:hAnsi="宋体"/>
          <w:sz w:val="24"/>
        </w:rPr>
        <w:t>C</w:t>
      </w:r>
      <w:r>
        <w:rPr>
          <w:rFonts w:ascii="宋体" w:hAnsi="宋体" w:hint="eastAsia"/>
          <w:sz w:val="24"/>
        </w:rPr>
        <w:t>类基金份额赎回费率</w:t>
      </w:r>
    </w:p>
    <w:p w14:paraId="2AA4C9E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本基金C 类基金份额赎回费率如下：</w:t>
      </w:r>
    </w:p>
    <w:tbl>
      <w:tblPr>
        <w:tblW w:w="6170" w:type="dxa"/>
        <w:jc w:val="center"/>
        <w:tblCellMar>
          <w:left w:w="0" w:type="dxa"/>
          <w:right w:w="0" w:type="dxa"/>
        </w:tblCellMar>
        <w:tblLook w:val="04A0" w:firstRow="1" w:lastRow="0" w:firstColumn="1" w:lastColumn="0" w:noHBand="0" w:noVBand="1"/>
      </w:tblPr>
      <w:tblGrid>
        <w:gridCol w:w="3503"/>
        <w:gridCol w:w="2667"/>
      </w:tblGrid>
      <w:tr w:rsidR="008A6127" w14:paraId="03E402D5"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EE1B646" w14:textId="77777777" w:rsidR="008A6127" w:rsidRDefault="00437D9F">
            <w:pPr>
              <w:snapToGrid w:val="0"/>
              <w:spacing w:line="360" w:lineRule="auto"/>
              <w:jc w:val="center"/>
              <w:rPr>
                <w:rFonts w:ascii="宋体" w:hAnsi="宋体"/>
                <w:sz w:val="24"/>
              </w:rPr>
            </w:pPr>
            <w:r>
              <w:rPr>
                <w:rFonts w:ascii="宋体" w:hAnsi="宋体" w:hint="eastAsia"/>
                <w:sz w:val="24"/>
              </w:rPr>
              <w:t>持有期限（</w:t>
            </w:r>
            <w:r>
              <w:rPr>
                <w:rFonts w:ascii="宋体" w:hAnsi="宋体"/>
                <w:sz w:val="24"/>
              </w:rPr>
              <w:t>N</w:t>
            </w:r>
            <w:r>
              <w:rPr>
                <w:rFonts w:ascii="宋体" w:hAnsi="宋体" w:hint="eastAsia"/>
                <w:sz w:val="24"/>
              </w:rPr>
              <w:t>）</w:t>
            </w:r>
          </w:p>
        </w:tc>
        <w:tc>
          <w:tcPr>
            <w:tcW w:w="26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41A66BD" w14:textId="77777777" w:rsidR="008A6127" w:rsidRDefault="00437D9F">
            <w:pPr>
              <w:snapToGrid w:val="0"/>
              <w:spacing w:line="360" w:lineRule="auto"/>
              <w:jc w:val="center"/>
              <w:rPr>
                <w:rFonts w:ascii="宋体" w:hAnsi="宋体"/>
                <w:sz w:val="24"/>
              </w:rPr>
            </w:pPr>
            <w:r>
              <w:rPr>
                <w:rFonts w:ascii="宋体" w:hAnsi="宋体"/>
                <w:sz w:val="24"/>
              </w:rPr>
              <w:t>C</w:t>
            </w:r>
            <w:r>
              <w:rPr>
                <w:rFonts w:ascii="宋体" w:hAnsi="宋体" w:hint="eastAsia"/>
                <w:sz w:val="24"/>
              </w:rPr>
              <w:t>类基金份额赎回费率</w:t>
            </w:r>
          </w:p>
        </w:tc>
      </w:tr>
      <w:tr w:rsidR="008A6127" w14:paraId="5C599971"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D4D5242" w14:textId="77777777" w:rsidR="008A6127" w:rsidRDefault="00437D9F">
            <w:pPr>
              <w:snapToGrid w:val="0"/>
              <w:spacing w:line="360" w:lineRule="auto"/>
              <w:jc w:val="center"/>
              <w:rPr>
                <w:rFonts w:ascii="宋体" w:hAnsi="宋体"/>
                <w:sz w:val="24"/>
              </w:rPr>
            </w:pPr>
            <w:r>
              <w:rPr>
                <w:rFonts w:ascii="宋体" w:hAnsi="宋体" w:hint="eastAsia"/>
                <w:sz w:val="24"/>
              </w:rPr>
              <w:t>N＜7日</w:t>
            </w:r>
          </w:p>
        </w:tc>
        <w:tc>
          <w:tcPr>
            <w:tcW w:w="26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59A69C" w14:textId="77777777" w:rsidR="008A6127" w:rsidRDefault="00437D9F">
            <w:pPr>
              <w:snapToGrid w:val="0"/>
              <w:spacing w:line="360" w:lineRule="auto"/>
              <w:jc w:val="center"/>
              <w:rPr>
                <w:rFonts w:ascii="宋体" w:hAnsi="宋体"/>
                <w:sz w:val="24"/>
              </w:rPr>
            </w:pPr>
            <w:r>
              <w:rPr>
                <w:rFonts w:ascii="宋体" w:hAnsi="宋体" w:hint="eastAsia"/>
                <w:sz w:val="24"/>
              </w:rPr>
              <w:t>1.50%</w:t>
            </w:r>
          </w:p>
        </w:tc>
      </w:tr>
      <w:tr w:rsidR="008A6127" w14:paraId="163175E1"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4607E1B" w14:textId="77777777" w:rsidR="008A6127" w:rsidRDefault="00437D9F">
            <w:pPr>
              <w:snapToGrid w:val="0"/>
              <w:spacing w:line="360" w:lineRule="auto"/>
              <w:jc w:val="center"/>
              <w:rPr>
                <w:rFonts w:ascii="宋体" w:hAnsi="宋体"/>
                <w:sz w:val="24"/>
              </w:rPr>
            </w:pPr>
            <w:r>
              <w:rPr>
                <w:rFonts w:ascii="宋体" w:hAnsi="宋体" w:hint="eastAsia"/>
                <w:sz w:val="24"/>
              </w:rPr>
              <w:t>7日≤N＜30日</w:t>
            </w:r>
          </w:p>
        </w:tc>
        <w:tc>
          <w:tcPr>
            <w:tcW w:w="26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4D2CDE4" w14:textId="77777777" w:rsidR="008A6127" w:rsidRDefault="00437D9F">
            <w:pPr>
              <w:snapToGrid w:val="0"/>
              <w:spacing w:line="360" w:lineRule="auto"/>
              <w:jc w:val="center"/>
              <w:rPr>
                <w:rFonts w:ascii="宋体" w:hAnsi="宋体"/>
                <w:sz w:val="24"/>
              </w:rPr>
            </w:pPr>
            <w:r>
              <w:rPr>
                <w:rFonts w:ascii="宋体" w:hAnsi="宋体" w:hint="eastAsia"/>
                <w:sz w:val="24"/>
              </w:rPr>
              <w:t>0.</w:t>
            </w:r>
            <w:r>
              <w:rPr>
                <w:rFonts w:ascii="宋体" w:hAnsi="宋体"/>
                <w:sz w:val="24"/>
              </w:rPr>
              <w:t>50</w:t>
            </w:r>
            <w:r>
              <w:rPr>
                <w:rFonts w:ascii="宋体" w:hAnsi="宋体" w:hint="eastAsia"/>
                <w:sz w:val="24"/>
              </w:rPr>
              <w:t>%</w:t>
            </w:r>
          </w:p>
        </w:tc>
      </w:tr>
      <w:tr w:rsidR="008A6127" w14:paraId="3042B2DB" w14:textId="77777777">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283E83F" w14:textId="77777777" w:rsidR="008A6127" w:rsidRDefault="00437D9F">
            <w:pPr>
              <w:snapToGrid w:val="0"/>
              <w:spacing w:line="360" w:lineRule="auto"/>
              <w:jc w:val="center"/>
              <w:rPr>
                <w:rFonts w:ascii="宋体" w:hAnsi="宋体"/>
                <w:sz w:val="24"/>
              </w:rPr>
            </w:pPr>
            <w:r>
              <w:rPr>
                <w:rFonts w:ascii="宋体" w:hAnsi="宋体" w:hint="eastAsia"/>
                <w:sz w:val="24"/>
              </w:rPr>
              <w:t>N≥</w:t>
            </w:r>
            <w:r>
              <w:rPr>
                <w:rFonts w:ascii="宋体" w:hAnsi="宋体"/>
                <w:sz w:val="24"/>
              </w:rPr>
              <w:t>30</w:t>
            </w:r>
            <w:r>
              <w:rPr>
                <w:rFonts w:ascii="宋体" w:hAnsi="宋体" w:hint="eastAsia"/>
                <w:sz w:val="24"/>
              </w:rPr>
              <w:t>日</w:t>
            </w:r>
          </w:p>
        </w:tc>
        <w:tc>
          <w:tcPr>
            <w:tcW w:w="26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9717282" w14:textId="77777777" w:rsidR="008A6127" w:rsidRDefault="00437D9F">
            <w:pPr>
              <w:snapToGrid w:val="0"/>
              <w:spacing w:line="360" w:lineRule="auto"/>
              <w:jc w:val="center"/>
              <w:rPr>
                <w:rFonts w:ascii="宋体" w:hAnsi="宋体"/>
                <w:sz w:val="24"/>
              </w:rPr>
            </w:pPr>
            <w:r>
              <w:rPr>
                <w:rFonts w:ascii="宋体" w:hAnsi="宋体" w:hint="eastAsia"/>
                <w:sz w:val="24"/>
              </w:rPr>
              <w:t>0.00%</w:t>
            </w:r>
          </w:p>
        </w:tc>
      </w:tr>
    </w:tbl>
    <w:p w14:paraId="09D44CE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本基金C 类基金份额的赎回费用由赎回C 类基金份额的基金份额持有人承担，在基金份额持有人赎回C 类基金份额时收取。对持有期少于30 天（不含）的C 类基金份额持有人所收取赎回费用全额计入基金财产。</w:t>
      </w:r>
    </w:p>
    <w:p w14:paraId="30982A57"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、基金管理人可以在《基金合同》规定的范围内</w:t>
      </w:r>
      <w:r>
        <w:rPr>
          <w:rFonts w:ascii="宋体" w:hAnsi="宋体"/>
          <w:sz w:val="24"/>
        </w:rPr>
        <w:t>调整费率或收费方式</w:t>
      </w:r>
      <w:r>
        <w:rPr>
          <w:rFonts w:ascii="宋体" w:hAnsi="宋体" w:hint="eastAsia"/>
          <w:sz w:val="24"/>
        </w:rPr>
        <w:t>，并最迟应于新的费率或收费方式实施日前依照有关规定在</w:t>
      </w:r>
      <w:r>
        <w:rPr>
          <w:rFonts w:ascii="宋体" w:hAnsi="宋体"/>
          <w:sz w:val="24"/>
        </w:rPr>
        <w:t>规定媒介</w:t>
      </w:r>
      <w:r>
        <w:rPr>
          <w:rFonts w:ascii="宋体" w:hAnsi="宋体" w:hint="eastAsia"/>
          <w:sz w:val="24"/>
        </w:rPr>
        <w:t>上公告，调整后的申购费率和赎回费率在更新的招募说明书中列示。</w:t>
      </w:r>
    </w:p>
    <w:p w14:paraId="589D2A50"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5</w:t>
      </w:r>
      <w:r>
        <w:rPr>
          <w:rFonts w:ascii="宋体" w:hAnsi="宋体" w:hint="eastAsia"/>
          <w:sz w:val="24"/>
        </w:rPr>
        <w:t>、基金管理人可以在不违背法律法规规定及基金合同约定的情况下根据市场情况制定基金促销计划，定期或不定期地开展基金促销活动。在基金促销活动期间，在对基金份额持有人利益无实质性不利影响的前提下，基金管理人可以按中国证监会要求履行必要的手续后，可以适当调低基金申购费率、基金赎回费率、销售服务费率，并进行公告。</w:t>
      </w:r>
    </w:p>
    <w:p w14:paraId="206D2FAF" w14:textId="77777777" w:rsidR="008A6127" w:rsidRDefault="00437D9F">
      <w:pPr>
        <w:snapToGrid w:val="0"/>
        <w:spacing w:line="360" w:lineRule="auto"/>
        <w:ind w:firstLineChars="200" w:firstLine="480"/>
        <w:rPr>
          <w:rFonts w:ascii="宋体" w:hAnsi="宋体"/>
          <w:sz w:val="24"/>
        </w:rPr>
      </w:pPr>
      <w:r>
        <w:rPr>
          <w:rFonts w:ascii="宋体" w:hAnsi="宋体"/>
          <w:sz w:val="24"/>
        </w:rPr>
        <w:t>6、基金管理人可以针对特定投资人（如养老金客户等）开展费率优惠活动，届时将提前公告。</w:t>
      </w:r>
    </w:p>
    <w:p w14:paraId="17CB0047" w14:textId="77777777" w:rsidR="008A6127" w:rsidRDefault="00437D9F">
      <w:pPr>
        <w:pStyle w:val="a9"/>
        <w:snapToGrid w:val="0"/>
        <w:ind w:firstLineChars="200" w:firstLine="482"/>
        <w:rPr>
          <w:rFonts w:ascii="宋体" w:hAnsi="宋体"/>
          <w:b/>
        </w:rPr>
      </w:pPr>
      <w:r>
        <w:rPr>
          <w:rFonts w:ascii="宋体" w:hAnsi="宋体" w:hint="eastAsia"/>
          <w:b/>
        </w:rPr>
        <w:t>（七）申购份额与赎回金额的计算</w:t>
      </w:r>
    </w:p>
    <w:p w14:paraId="61D66401"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、申购和赎回数额、余额的处理方式</w:t>
      </w:r>
    </w:p>
    <w:p w14:paraId="78C76DC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1</w:t>
      </w:r>
      <w:r>
        <w:rPr>
          <w:rFonts w:ascii="宋体" w:hAnsi="宋体" w:hint="eastAsia"/>
          <w:sz w:val="24"/>
        </w:rPr>
        <w:t>）本基金分为</w:t>
      </w:r>
      <w:r>
        <w:rPr>
          <w:rFonts w:ascii="宋体" w:hAnsi="宋体"/>
          <w:sz w:val="24"/>
        </w:rPr>
        <w:t xml:space="preserve">A </w:t>
      </w:r>
      <w:r>
        <w:rPr>
          <w:rFonts w:ascii="宋体" w:hAnsi="宋体" w:hint="eastAsia"/>
          <w:sz w:val="24"/>
        </w:rPr>
        <w:t>类和</w:t>
      </w:r>
      <w:r>
        <w:rPr>
          <w:rFonts w:ascii="宋体" w:hAnsi="宋体"/>
          <w:sz w:val="24"/>
        </w:rPr>
        <w:t xml:space="preserve">C </w:t>
      </w:r>
      <w:r>
        <w:rPr>
          <w:rFonts w:ascii="宋体" w:hAnsi="宋体" w:hint="eastAsia"/>
          <w:sz w:val="24"/>
        </w:rPr>
        <w:t>类两类基金份额，两类基金份额分别设置代码，分别计算并公布基金份额净值和基金份额累计净值。申购的有效份额为净申购金额除以当日该类基金份额净值，有效份额单位为份，上述计算结果均按四舍五入方法，保留到小数点后2位，由此产生的收益或损失由基金财产承担。</w:t>
      </w:r>
    </w:p>
    <w:p w14:paraId="15CA547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2</w:t>
      </w:r>
      <w:r>
        <w:rPr>
          <w:rFonts w:ascii="宋体" w:hAnsi="宋体" w:hint="eastAsia"/>
          <w:sz w:val="24"/>
        </w:rPr>
        <w:t>）赎回金额为按实际确认的有效赎回份额乘以当日该类基金份额净值并扣除相应的费用，赎回金额单位为元。上述计算结果均按四舍五入方法，保留到小数点后2位，由此产生的收益或损失由基金财产承担。</w:t>
      </w:r>
    </w:p>
    <w:p w14:paraId="0E171A7F"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、申购份额的计算</w:t>
      </w:r>
    </w:p>
    <w:p w14:paraId="276035A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1</w:t>
      </w:r>
      <w:r>
        <w:rPr>
          <w:rFonts w:ascii="宋体" w:hAnsi="宋体" w:hint="eastAsia"/>
          <w:sz w:val="24"/>
        </w:rPr>
        <w:t>）</w:t>
      </w:r>
      <w:r>
        <w:rPr>
          <w:rFonts w:ascii="宋体" w:hAnsi="宋体"/>
          <w:sz w:val="24"/>
        </w:rPr>
        <w:t xml:space="preserve">A </w:t>
      </w:r>
      <w:r>
        <w:rPr>
          <w:rFonts w:ascii="宋体" w:hAnsi="宋体" w:hint="eastAsia"/>
          <w:sz w:val="24"/>
        </w:rPr>
        <w:t>类基金份额申购份额的计算公式如下：</w:t>
      </w:r>
    </w:p>
    <w:p w14:paraId="30F643D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申购总金额</w:t>
      </w:r>
      <w:r>
        <w:rPr>
          <w:rFonts w:ascii="宋体" w:hAnsi="宋体"/>
          <w:sz w:val="24"/>
        </w:rPr>
        <w:t>=</w:t>
      </w:r>
      <w:proofErr w:type="gramStart"/>
      <w:r>
        <w:rPr>
          <w:rFonts w:ascii="宋体" w:hAnsi="宋体" w:hint="eastAsia"/>
          <w:sz w:val="24"/>
        </w:rPr>
        <w:t>申请总</w:t>
      </w:r>
      <w:proofErr w:type="gramEnd"/>
      <w:r>
        <w:rPr>
          <w:rFonts w:ascii="宋体" w:hAnsi="宋体" w:hint="eastAsia"/>
          <w:sz w:val="24"/>
        </w:rPr>
        <w:t>金额</w:t>
      </w:r>
    </w:p>
    <w:p w14:paraId="7296887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净申购金额</w:t>
      </w:r>
      <w:r>
        <w:rPr>
          <w:rFonts w:ascii="宋体" w:hAnsi="宋体"/>
          <w:sz w:val="24"/>
        </w:rPr>
        <w:t>=</w:t>
      </w:r>
      <w:r>
        <w:rPr>
          <w:rFonts w:ascii="宋体" w:hAnsi="宋体" w:hint="eastAsia"/>
          <w:sz w:val="24"/>
        </w:rPr>
        <w:t>申购总金额</w:t>
      </w:r>
      <w:r>
        <w:rPr>
          <w:rFonts w:ascii="宋体" w:hAnsi="宋体"/>
          <w:sz w:val="24"/>
        </w:rPr>
        <w:t>/</w:t>
      </w:r>
      <w:r>
        <w:rPr>
          <w:rFonts w:ascii="宋体" w:hAnsi="宋体" w:hint="eastAsia"/>
          <w:sz w:val="24"/>
        </w:rPr>
        <w:t>（</w:t>
      </w:r>
      <w:r>
        <w:rPr>
          <w:rFonts w:ascii="宋体" w:hAnsi="宋体"/>
          <w:sz w:val="24"/>
        </w:rPr>
        <w:t>1+</w:t>
      </w:r>
      <w:r>
        <w:rPr>
          <w:rFonts w:ascii="宋体" w:hAnsi="宋体" w:hint="eastAsia"/>
          <w:sz w:val="24"/>
        </w:rPr>
        <w:t>申购费率）</w:t>
      </w:r>
    </w:p>
    <w:p w14:paraId="13FD4D5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（注：对于适用固定金额申购费用的申购，净申购金额＝申购总金额－固定申购费用金额）</w:t>
      </w:r>
    </w:p>
    <w:p w14:paraId="778DBB6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申购费用</w:t>
      </w:r>
      <w:r>
        <w:rPr>
          <w:rFonts w:ascii="宋体" w:hAnsi="宋体"/>
          <w:sz w:val="24"/>
        </w:rPr>
        <w:t>=</w:t>
      </w:r>
      <w:r>
        <w:rPr>
          <w:rFonts w:ascii="宋体" w:hAnsi="宋体" w:hint="eastAsia"/>
          <w:sz w:val="24"/>
        </w:rPr>
        <w:t>申购总金额</w:t>
      </w:r>
      <w:r>
        <w:rPr>
          <w:rFonts w:ascii="宋体" w:hAnsi="宋体"/>
          <w:sz w:val="24"/>
        </w:rPr>
        <w:t>-</w:t>
      </w:r>
      <w:r>
        <w:rPr>
          <w:rFonts w:ascii="宋体" w:hAnsi="宋体" w:hint="eastAsia"/>
          <w:sz w:val="24"/>
        </w:rPr>
        <w:t>净申购金额</w:t>
      </w:r>
    </w:p>
    <w:p w14:paraId="135C523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（注：对于适用固定金额申购费用的申购，申购费用＝固定申购费用金额）</w:t>
      </w:r>
    </w:p>
    <w:p w14:paraId="57CAC72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申购份额</w:t>
      </w:r>
      <w:r>
        <w:rPr>
          <w:rFonts w:ascii="宋体" w:hAnsi="宋体"/>
          <w:sz w:val="24"/>
        </w:rPr>
        <w:t>=</w:t>
      </w:r>
      <w:r>
        <w:rPr>
          <w:rFonts w:ascii="宋体" w:hAnsi="宋体" w:hint="eastAsia"/>
          <w:sz w:val="24"/>
        </w:rPr>
        <w:t>（申购总金额</w:t>
      </w:r>
      <w:r>
        <w:rPr>
          <w:rFonts w:ascii="宋体" w:hAnsi="宋体"/>
          <w:sz w:val="24"/>
        </w:rPr>
        <w:t>-</w:t>
      </w:r>
      <w:r>
        <w:rPr>
          <w:rFonts w:ascii="宋体" w:hAnsi="宋体" w:hint="eastAsia"/>
          <w:sz w:val="24"/>
        </w:rPr>
        <w:t>申购费用）</w:t>
      </w:r>
      <w:r>
        <w:rPr>
          <w:rFonts w:ascii="宋体" w:hAnsi="宋体"/>
          <w:sz w:val="24"/>
        </w:rPr>
        <w:t xml:space="preserve">/ T </w:t>
      </w:r>
      <w:r>
        <w:rPr>
          <w:rFonts w:ascii="宋体" w:hAnsi="宋体" w:hint="eastAsia"/>
          <w:sz w:val="24"/>
        </w:rPr>
        <w:t>日</w:t>
      </w:r>
      <w:r>
        <w:rPr>
          <w:rFonts w:ascii="宋体" w:hAnsi="宋体"/>
          <w:sz w:val="24"/>
        </w:rPr>
        <w:t xml:space="preserve">A </w:t>
      </w:r>
      <w:r>
        <w:rPr>
          <w:rFonts w:ascii="宋体" w:hAnsi="宋体" w:hint="eastAsia"/>
          <w:sz w:val="24"/>
        </w:rPr>
        <w:t>类基金份额净值</w:t>
      </w:r>
    </w:p>
    <w:p w14:paraId="1946B50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例三：某投资者投资</w:t>
      </w:r>
      <w:r>
        <w:rPr>
          <w:rFonts w:ascii="宋体" w:hAnsi="宋体"/>
          <w:sz w:val="24"/>
        </w:rPr>
        <w:t xml:space="preserve">40,000 </w:t>
      </w:r>
      <w:r>
        <w:rPr>
          <w:rFonts w:ascii="宋体" w:hAnsi="宋体" w:hint="eastAsia"/>
          <w:sz w:val="24"/>
        </w:rPr>
        <w:t>元申购本基金</w:t>
      </w:r>
      <w:r>
        <w:rPr>
          <w:rFonts w:ascii="宋体" w:hAnsi="宋体"/>
          <w:sz w:val="24"/>
        </w:rPr>
        <w:t xml:space="preserve">A </w:t>
      </w:r>
      <w:r>
        <w:rPr>
          <w:rFonts w:ascii="宋体" w:hAnsi="宋体" w:hint="eastAsia"/>
          <w:sz w:val="24"/>
        </w:rPr>
        <w:t>类基金份额，假设申购当日</w:t>
      </w:r>
      <w:r>
        <w:rPr>
          <w:rFonts w:ascii="宋体" w:hAnsi="宋体"/>
          <w:sz w:val="24"/>
        </w:rPr>
        <w:t xml:space="preserve">A </w:t>
      </w:r>
      <w:r>
        <w:rPr>
          <w:rFonts w:ascii="宋体" w:hAnsi="宋体" w:hint="eastAsia"/>
          <w:sz w:val="24"/>
        </w:rPr>
        <w:t>类基金份额净值为</w:t>
      </w:r>
      <w:r>
        <w:rPr>
          <w:rFonts w:ascii="宋体" w:hAnsi="宋体"/>
          <w:sz w:val="24"/>
        </w:rPr>
        <w:t xml:space="preserve">1.0400 </w:t>
      </w:r>
      <w:r>
        <w:rPr>
          <w:rFonts w:ascii="宋体" w:hAnsi="宋体" w:hint="eastAsia"/>
          <w:sz w:val="24"/>
        </w:rPr>
        <w:t>元，申购费率为</w:t>
      </w:r>
      <w:r>
        <w:rPr>
          <w:rFonts w:ascii="宋体" w:hAnsi="宋体"/>
          <w:sz w:val="24"/>
        </w:rPr>
        <w:t>1.5%</w:t>
      </w:r>
      <w:r>
        <w:rPr>
          <w:rFonts w:ascii="宋体" w:hAnsi="宋体" w:hint="eastAsia"/>
          <w:sz w:val="24"/>
        </w:rPr>
        <w:t>，则其可得到的申购份额为：</w:t>
      </w:r>
    </w:p>
    <w:p w14:paraId="489AA3A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申购总金额＝</w:t>
      </w:r>
      <w:r>
        <w:rPr>
          <w:rFonts w:ascii="宋体" w:hAnsi="宋体"/>
          <w:sz w:val="24"/>
        </w:rPr>
        <w:t xml:space="preserve">40,000 </w:t>
      </w:r>
      <w:r>
        <w:rPr>
          <w:rFonts w:ascii="宋体" w:hAnsi="宋体" w:hint="eastAsia"/>
          <w:sz w:val="24"/>
        </w:rPr>
        <w:t>元</w:t>
      </w:r>
    </w:p>
    <w:p w14:paraId="6F862C8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净申购金额</w:t>
      </w:r>
      <w:r>
        <w:rPr>
          <w:rFonts w:ascii="宋体" w:hAnsi="宋体"/>
          <w:sz w:val="24"/>
        </w:rPr>
        <w:t>=40,000/</w:t>
      </w:r>
      <w:r>
        <w:rPr>
          <w:rFonts w:ascii="宋体" w:hAnsi="宋体" w:hint="eastAsia"/>
          <w:sz w:val="24"/>
        </w:rPr>
        <w:t>（</w:t>
      </w:r>
      <w:r>
        <w:rPr>
          <w:rFonts w:ascii="宋体" w:hAnsi="宋体"/>
          <w:sz w:val="24"/>
        </w:rPr>
        <w:t>1+1.5%</w:t>
      </w:r>
      <w:r>
        <w:rPr>
          <w:rFonts w:ascii="宋体" w:hAnsi="宋体" w:hint="eastAsia"/>
          <w:sz w:val="24"/>
        </w:rPr>
        <w:t>）</w:t>
      </w:r>
      <w:r>
        <w:rPr>
          <w:rFonts w:ascii="宋体" w:hAnsi="宋体"/>
          <w:sz w:val="24"/>
        </w:rPr>
        <w:t>=39,408.87</w:t>
      </w:r>
      <w:r>
        <w:rPr>
          <w:rFonts w:ascii="宋体" w:hAnsi="宋体" w:hint="eastAsia"/>
          <w:sz w:val="24"/>
        </w:rPr>
        <w:t>元</w:t>
      </w:r>
    </w:p>
    <w:p w14:paraId="0966A9C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申购费用</w:t>
      </w:r>
      <w:r>
        <w:rPr>
          <w:rFonts w:ascii="宋体" w:hAnsi="宋体"/>
          <w:sz w:val="24"/>
        </w:rPr>
        <w:t xml:space="preserve">=40,000-39,408.87=591.13 </w:t>
      </w:r>
      <w:r>
        <w:rPr>
          <w:rFonts w:ascii="宋体" w:hAnsi="宋体" w:hint="eastAsia"/>
          <w:sz w:val="24"/>
        </w:rPr>
        <w:t>元</w:t>
      </w:r>
    </w:p>
    <w:p w14:paraId="428C31C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申购份额</w:t>
      </w:r>
      <w:r>
        <w:rPr>
          <w:rFonts w:ascii="宋体" w:hAnsi="宋体"/>
          <w:sz w:val="24"/>
        </w:rPr>
        <w:t>=</w:t>
      </w:r>
      <w:r>
        <w:rPr>
          <w:rFonts w:ascii="宋体" w:hAnsi="宋体" w:hint="eastAsia"/>
          <w:sz w:val="24"/>
        </w:rPr>
        <w:t>（</w:t>
      </w:r>
      <w:r>
        <w:rPr>
          <w:rFonts w:ascii="宋体" w:hAnsi="宋体"/>
          <w:sz w:val="24"/>
        </w:rPr>
        <w:t>40,000-591.13</w:t>
      </w:r>
      <w:r>
        <w:rPr>
          <w:rFonts w:ascii="宋体" w:hAnsi="宋体" w:hint="eastAsia"/>
          <w:sz w:val="24"/>
        </w:rPr>
        <w:t>）</w:t>
      </w:r>
      <w:r>
        <w:rPr>
          <w:rFonts w:ascii="宋体" w:hAnsi="宋体"/>
          <w:sz w:val="24"/>
        </w:rPr>
        <w:t xml:space="preserve">/1.0400=37,893.14 </w:t>
      </w:r>
      <w:r>
        <w:rPr>
          <w:rFonts w:ascii="宋体" w:hAnsi="宋体" w:hint="eastAsia"/>
          <w:sz w:val="24"/>
        </w:rPr>
        <w:t>份</w:t>
      </w:r>
    </w:p>
    <w:p w14:paraId="175F5EA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即：该投资者投资</w:t>
      </w:r>
      <w:r>
        <w:rPr>
          <w:rFonts w:ascii="宋体" w:hAnsi="宋体"/>
          <w:sz w:val="24"/>
        </w:rPr>
        <w:t xml:space="preserve">40,000 </w:t>
      </w:r>
      <w:r>
        <w:rPr>
          <w:rFonts w:ascii="宋体" w:hAnsi="宋体" w:hint="eastAsia"/>
          <w:sz w:val="24"/>
        </w:rPr>
        <w:t>元申购本基金</w:t>
      </w:r>
      <w:r>
        <w:rPr>
          <w:rFonts w:ascii="宋体" w:hAnsi="宋体"/>
          <w:sz w:val="24"/>
        </w:rPr>
        <w:t xml:space="preserve">A </w:t>
      </w:r>
      <w:r>
        <w:rPr>
          <w:rFonts w:ascii="宋体" w:hAnsi="宋体" w:hint="eastAsia"/>
          <w:sz w:val="24"/>
        </w:rPr>
        <w:t>类基金份额，假设申购当日</w:t>
      </w:r>
      <w:r>
        <w:rPr>
          <w:rFonts w:ascii="宋体" w:hAnsi="宋体"/>
          <w:sz w:val="24"/>
        </w:rPr>
        <w:t xml:space="preserve">A </w:t>
      </w:r>
      <w:r>
        <w:rPr>
          <w:rFonts w:ascii="宋体" w:hAnsi="宋体" w:hint="eastAsia"/>
          <w:sz w:val="24"/>
        </w:rPr>
        <w:t>类基金份额净值为</w:t>
      </w:r>
      <w:r>
        <w:rPr>
          <w:rFonts w:ascii="宋体" w:hAnsi="宋体"/>
          <w:sz w:val="24"/>
        </w:rPr>
        <w:t xml:space="preserve">1.0400 </w:t>
      </w:r>
      <w:r>
        <w:rPr>
          <w:rFonts w:ascii="宋体" w:hAnsi="宋体" w:hint="eastAsia"/>
          <w:sz w:val="24"/>
        </w:rPr>
        <w:t>元，则其可得到</w:t>
      </w:r>
      <w:r>
        <w:rPr>
          <w:rFonts w:ascii="宋体" w:hAnsi="宋体"/>
          <w:sz w:val="24"/>
        </w:rPr>
        <w:t xml:space="preserve">37,893.14 </w:t>
      </w:r>
      <w:r>
        <w:rPr>
          <w:rFonts w:ascii="宋体" w:hAnsi="宋体" w:hint="eastAsia"/>
          <w:sz w:val="24"/>
        </w:rPr>
        <w:t>份</w:t>
      </w:r>
      <w:r>
        <w:rPr>
          <w:rFonts w:ascii="宋体" w:hAnsi="宋体"/>
          <w:sz w:val="24"/>
        </w:rPr>
        <w:t xml:space="preserve">A </w:t>
      </w:r>
      <w:r>
        <w:rPr>
          <w:rFonts w:ascii="宋体" w:hAnsi="宋体" w:hint="eastAsia"/>
          <w:sz w:val="24"/>
        </w:rPr>
        <w:t>类基金份额。</w:t>
      </w:r>
    </w:p>
    <w:p w14:paraId="40BE72E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2</w:t>
      </w:r>
      <w:r>
        <w:rPr>
          <w:rFonts w:ascii="宋体" w:hAnsi="宋体" w:hint="eastAsia"/>
          <w:sz w:val="24"/>
        </w:rPr>
        <w:t>）</w:t>
      </w:r>
      <w:r>
        <w:rPr>
          <w:rFonts w:ascii="宋体" w:hAnsi="宋体"/>
          <w:sz w:val="24"/>
        </w:rPr>
        <w:t xml:space="preserve">C </w:t>
      </w:r>
      <w:r>
        <w:rPr>
          <w:rFonts w:ascii="宋体" w:hAnsi="宋体" w:hint="eastAsia"/>
          <w:sz w:val="24"/>
        </w:rPr>
        <w:t>类基金份额申购份额的计算公式如下：</w:t>
      </w:r>
    </w:p>
    <w:p w14:paraId="654AB9A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申购份额</w:t>
      </w:r>
      <w:r>
        <w:rPr>
          <w:rFonts w:ascii="宋体" w:hAnsi="宋体"/>
          <w:sz w:val="24"/>
        </w:rPr>
        <w:t>=</w:t>
      </w:r>
      <w:r>
        <w:rPr>
          <w:rFonts w:ascii="宋体" w:hAnsi="宋体" w:hint="eastAsia"/>
          <w:sz w:val="24"/>
        </w:rPr>
        <w:t>申购总金额</w:t>
      </w:r>
      <w:r>
        <w:rPr>
          <w:rFonts w:ascii="宋体" w:hAnsi="宋体"/>
          <w:sz w:val="24"/>
        </w:rPr>
        <w:t xml:space="preserve">/ T </w:t>
      </w:r>
      <w:r>
        <w:rPr>
          <w:rFonts w:ascii="宋体" w:hAnsi="宋体" w:hint="eastAsia"/>
          <w:sz w:val="24"/>
        </w:rPr>
        <w:t>日</w:t>
      </w:r>
      <w:r>
        <w:rPr>
          <w:rFonts w:ascii="宋体" w:hAnsi="宋体"/>
          <w:sz w:val="24"/>
        </w:rPr>
        <w:t xml:space="preserve">C </w:t>
      </w:r>
      <w:r>
        <w:rPr>
          <w:rFonts w:ascii="宋体" w:hAnsi="宋体" w:hint="eastAsia"/>
          <w:sz w:val="24"/>
        </w:rPr>
        <w:t>类基金份额净值</w:t>
      </w:r>
    </w:p>
    <w:p w14:paraId="7EC1C65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例四：某投资者投资</w:t>
      </w:r>
      <w:r>
        <w:rPr>
          <w:rFonts w:ascii="宋体" w:hAnsi="宋体"/>
          <w:sz w:val="24"/>
        </w:rPr>
        <w:t xml:space="preserve">40,000 </w:t>
      </w:r>
      <w:r>
        <w:rPr>
          <w:rFonts w:ascii="宋体" w:hAnsi="宋体" w:hint="eastAsia"/>
          <w:sz w:val="24"/>
        </w:rPr>
        <w:t>元申购本基金</w:t>
      </w:r>
      <w:r>
        <w:rPr>
          <w:rFonts w:ascii="宋体" w:hAnsi="宋体"/>
          <w:sz w:val="24"/>
        </w:rPr>
        <w:t xml:space="preserve">C </w:t>
      </w:r>
      <w:r>
        <w:rPr>
          <w:rFonts w:ascii="宋体" w:hAnsi="宋体" w:hint="eastAsia"/>
          <w:sz w:val="24"/>
        </w:rPr>
        <w:t>类基金份额，假设申购当日</w:t>
      </w:r>
      <w:r>
        <w:rPr>
          <w:rFonts w:ascii="宋体" w:hAnsi="宋体"/>
          <w:sz w:val="24"/>
        </w:rPr>
        <w:t xml:space="preserve">C </w:t>
      </w:r>
      <w:r>
        <w:rPr>
          <w:rFonts w:ascii="宋体" w:hAnsi="宋体" w:hint="eastAsia"/>
          <w:sz w:val="24"/>
        </w:rPr>
        <w:t>类基金份额净值为</w:t>
      </w:r>
      <w:r>
        <w:rPr>
          <w:rFonts w:ascii="宋体" w:hAnsi="宋体"/>
          <w:sz w:val="24"/>
        </w:rPr>
        <w:t xml:space="preserve">1.0400 </w:t>
      </w:r>
      <w:r>
        <w:rPr>
          <w:rFonts w:ascii="宋体" w:hAnsi="宋体" w:hint="eastAsia"/>
          <w:sz w:val="24"/>
        </w:rPr>
        <w:t>元，则其可得到的申购份额为：</w:t>
      </w:r>
    </w:p>
    <w:p w14:paraId="6AE2BCB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申购份额</w:t>
      </w:r>
      <w:r>
        <w:rPr>
          <w:rFonts w:ascii="宋体" w:hAnsi="宋体"/>
          <w:sz w:val="24"/>
        </w:rPr>
        <w:t xml:space="preserve">=40,000/1.0400=38,461.54 </w:t>
      </w:r>
      <w:r>
        <w:rPr>
          <w:rFonts w:ascii="宋体" w:hAnsi="宋体" w:hint="eastAsia"/>
          <w:sz w:val="24"/>
        </w:rPr>
        <w:t>份</w:t>
      </w:r>
    </w:p>
    <w:p w14:paraId="176D981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即：该投资者投资</w:t>
      </w:r>
      <w:r>
        <w:rPr>
          <w:rFonts w:ascii="宋体" w:hAnsi="宋体"/>
          <w:sz w:val="24"/>
        </w:rPr>
        <w:t xml:space="preserve">40,000 </w:t>
      </w:r>
      <w:r>
        <w:rPr>
          <w:rFonts w:ascii="宋体" w:hAnsi="宋体" w:hint="eastAsia"/>
          <w:sz w:val="24"/>
        </w:rPr>
        <w:t>元申购本基金</w:t>
      </w:r>
      <w:r>
        <w:rPr>
          <w:rFonts w:ascii="宋体" w:hAnsi="宋体"/>
          <w:sz w:val="24"/>
        </w:rPr>
        <w:t xml:space="preserve">C </w:t>
      </w:r>
      <w:r>
        <w:rPr>
          <w:rFonts w:ascii="宋体" w:hAnsi="宋体" w:hint="eastAsia"/>
          <w:sz w:val="24"/>
        </w:rPr>
        <w:t>类基金份额，假设申购当日</w:t>
      </w:r>
      <w:r>
        <w:rPr>
          <w:rFonts w:ascii="宋体" w:hAnsi="宋体"/>
          <w:sz w:val="24"/>
        </w:rPr>
        <w:t xml:space="preserve">C </w:t>
      </w:r>
      <w:r>
        <w:rPr>
          <w:rFonts w:ascii="宋体" w:hAnsi="宋体" w:hint="eastAsia"/>
          <w:sz w:val="24"/>
        </w:rPr>
        <w:t>类基金份额净值为</w:t>
      </w:r>
      <w:r>
        <w:rPr>
          <w:rFonts w:ascii="宋体" w:hAnsi="宋体"/>
          <w:sz w:val="24"/>
        </w:rPr>
        <w:t xml:space="preserve">1.0400 </w:t>
      </w:r>
      <w:r>
        <w:rPr>
          <w:rFonts w:ascii="宋体" w:hAnsi="宋体" w:hint="eastAsia"/>
          <w:sz w:val="24"/>
        </w:rPr>
        <w:t>元，则其可得到</w:t>
      </w:r>
      <w:r>
        <w:rPr>
          <w:rFonts w:ascii="宋体" w:hAnsi="宋体"/>
          <w:sz w:val="24"/>
        </w:rPr>
        <w:t xml:space="preserve">38,461.54 </w:t>
      </w:r>
      <w:r>
        <w:rPr>
          <w:rFonts w:ascii="宋体" w:hAnsi="宋体" w:hint="eastAsia"/>
          <w:sz w:val="24"/>
        </w:rPr>
        <w:t>份</w:t>
      </w:r>
      <w:r>
        <w:rPr>
          <w:rFonts w:ascii="宋体" w:hAnsi="宋体"/>
          <w:sz w:val="24"/>
        </w:rPr>
        <w:t xml:space="preserve">C </w:t>
      </w:r>
      <w:r>
        <w:rPr>
          <w:rFonts w:ascii="宋体" w:hAnsi="宋体" w:hint="eastAsia"/>
          <w:sz w:val="24"/>
        </w:rPr>
        <w:t>类基金份额。</w:t>
      </w:r>
    </w:p>
    <w:p w14:paraId="626F557C"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、赎回金额的计算</w:t>
      </w:r>
    </w:p>
    <w:p w14:paraId="642F4E4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赎回金额的计算方法如下：</w:t>
      </w:r>
    </w:p>
    <w:p w14:paraId="05DC2BD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赎回费用</w:t>
      </w:r>
      <w:r>
        <w:rPr>
          <w:rFonts w:ascii="宋体" w:hAnsi="宋体"/>
          <w:sz w:val="24"/>
        </w:rPr>
        <w:t>=</w:t>
      </w:r>
      <w:r>
        <w:rPr>
          <w:rFonts w:ascii="宋体" w:hAnsi="宋体" w:hint="eastAsia"/>
          <w:sz w:val="24"/>
        </w:rPr>
        <w:t>赎回份额×</w:t>
      </w:r>
      <w:r>
        <w:rPr>
          <w:rFonts w:ascii="宋体" w:hAnsi="宋体"/>
          <w:sz w:val="24"/>
        </w:rPr>
        <w:t xml:space="preserve">T </w:t>
      </w:r>
      <w:r>
        <w:rPr>
          <w:rFonts w:ascii="宋体" w:hAnsi="宋体" w:hint="eastAsia"/>
          <w:sz w:val="24"/>
        </w:rPr>
        <w:t>日该类基金份额净值×适用的赎回费率</w:t>
      </w:r>
    </w:p>
    <w:p w14:paraId="6A8B2D6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赎回金额</w:t>
      </w:r>
      <w:r>
        <w:rPr>
          <w:rFonts w:ascii="宋体" w:hAnsi="宋体"/>
          <w:sz w:val="24"/>
        </w:rPr>
        <w:t>=</w:t>
      </w:r>
      <w:r>
        <w:rPr>
          <w:rFonts w:ascii="宋体" w:hAnsi="宋体" w:hint="eastAsia"/>
          <w:sz w:val="24"/>
        </w:rPr>
        <w:t>赎回份额×</w:t>
      </w:r>
      <w:r>
        <w:rPr>
          <w:rFonts w:ascii="宋体" w:hAnsi="宋体"/>
          <w:sz w:val="24"/>
        </w:rPr>
        <w:t xml:space="preserve">T </w:t>
      </w:r>
      <w:r>
        <w:rPr>
          <w:rFonts w:ascii="宋体" w:hAnsi="宋体" w:hint="eastAsia"/>
          <w:sz w:val="24"/>
        </w:rPr>
        <w:t>日该类基金份额净值</w:t>
      </w:r>
      <w:r>
        <w:rPr>
          <w:rFonts w:ascii="宋体" w:hAnsi="宋体"/>
          <w:sz w:val="24"/>
        </w:rPr>
        <w:t>-</w:t>
      </w:r>
      <w:r>
        <w:rPr>
          <w:rFonts w:ascii="宋体" w:hAnsi="宋体" w:hint="eastAsia"/>
          <w:sz w:val="24"/>
        </w:rPr>
        <w:t>赎回费用</w:t>
      </w:r>
    </w:p>
    <w:p w14:paraId="78598EC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例五：某投资者赎回持有的</w:t>
      </w:r>
      <w:r>
        <w:rPr>
          <w:rFonts w:ascii="宋体" w:hAnsi="宋体"/>
          <w:sz w:val="24"/>
        </w:rPr>
        <w:t xml:space="preserve">10,000 </w:t>
      </w:r>
      <w:r>
        <w:rPr>
          <w:rFonts w:ascii="宋体" w:hAnsi="宋体" w:hint="eastAsia"/>
          <w:sz w:val="24"/>
        </w:rPr>
        <w:t>份</w:t>
      </w:r>
      <w:r>
        <w:rPr>
          <w:rFonts w:ascii="宋体" w:hAnsi="宋体"/>
          <w:sz w:val="24"/>
        </w:rPr>
        <w:t xml:space="preserve">A </w:t>
      </w:r>
      <w:r>
        <w:rPr>
          <w:rFonts w:ascii="宋体" w:hAnsi="宋体" w:hint="eastAsia"/>
          <w:sz w:val="24"/>
        </w:rPr>
        <w:t>类基金份额，持有期限为</w:t>
      </w:r>
      <w:r>
        <w:rPr>
          <w:rFonts w:ascii="宋体" w:hAnsi="宋体"/>
          <w:sz w:val="24"/>
        </w:rPr>
        <w:t xml:space="preserve">30 </w:t>
      </w:r>
      <w:r>
        <w:rPr>
          <w:rFonts w:ascii="宋体" w:hAnsi="宋体" w:hint="eastAsia"/>
          <w:sz w:val="24"/>
        </w:rPr>
        <w:t>日，对应的赎回费率为</w:t>
      </w:r>
      <w:r>
        <w:rPr>
          <w:rFonts w:ascii="宋体" w:hAnsi="宋体"/>
          <w:sz w:val="24"/>
        </w:rPr>
        <w:t>0.5%</w:t>
      </w:r>
      <w:r>
        <w:rPr>
          <w:rFonts w:ascii="宋体" w:hAnsi="宋体" w:hint="eastAsia"/>
          <w:sz w:val="24"/>
        </w:rPr>
        <w:t>，假设赎回当日</w:t>
      </w:r>
      <w:r>
        <w:rPr>
          <w:rFonts w:ascii="宋体" w:hAnsi="宋体"/>
          <w:sz w:val="24"/>
        </w:rPr>
        <w:t xml:space="preserve">A </w:t>
      </w:r>
      <w:r>
        <w:rPr>
          <w:rFonts w:ascii="宋体" w:hAnsi="宋体" w:hint="eastAsia"/>
          <w:sz w:val="24"/>
        </w:rPr>
        <w:t>类基金份额净值是</w:t>
      </w:r>
      <w:r>
        <w:rPr>
          <w:rFonts w:ascii="宋体" w:hAnsi="宋体"/>
          <w:sz w:val="24"/>
        </w:rPr>
        <w:t xml:space="preserve">1.0160 </w:t>
      </w:r>
      <w:r>
        <w:rPr>
          <w:rFonts w:ascii="宋体" w:hAnsi="宋体" w:hint="eastAsia"/>
          <w:sz w:val="24"/>
        </w:rPr>
        <w:t>元，则其可得到的赎回金额为：</w:t>
      </w:r>
    </w:p>
    <w:p w14:paraId="1EC7314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赎回费用</w:t>
      </w:r>
      <w:r>
        <w:rPr>
          <w:rFonts w:ascii="宋体" w:hAnsi="宋体"/>
          <w:sz w:val="24"/>
        </w:rPr>
        <w:t xml:space="preserve"> = 10,000</w:t>
      </w:r>
      <w:r>
        <w:rPr>
          <w:rFonts w:ascii="宋体" w:hAnsi="宋体" w:hint="eastAsia"/>
          <w:sz w:val="24"/>
        </w:rPr>
        <w:t>×</w:t>
      </w:r>
      <w:r>
        <w:rPr>
          <w:rFonts w:ascii="宋体" w:hAnsi="宋体"/>
          <w:sz w:val="24"/>
        </w:rPr>
        <w:t>1.0160</w:t>
      </w:r>
      <w:r>
        <w:rPr>
          <w:rFonts w:ascii="宋体" w:hAnsi="宋体" w:hint="eastAsia"/>
          <w:sz w:val="24"/>
        </w:rPr>
        <w:t>×</w:t>
      </w:r>
      <w:r>
        <w:rPr>
          <w:rFonts w:ascii="宋体" w:hAnsi="宋体"/>
          <w:sz w:val="24"/>
        </w:rPr>
        <w:t xml:space="preserve">0.5% </w:t>
      </w:r>
      <w:r>
        <w:rPr>
          <w:rFonts w:ascii="宋体" w:hAnsi="宋体" w:hint="eastAsia"/>
          <w:sz w:val="24"/>
        </w:rPr>
        <w:t>＝</w:t>
      </w:r>
      <w:r>
        <w:rPr>
          <w:rFonts w:ascii="宋体" w:hAnsi="宋体"/>
          <w:sz w:val="24"/>
        </w:rPr>
        <w:t xml:space="preserve"> 50.80 </w:t>
      </w:r>
      <w:r>
        <w:rPr>
          <w:rFonts w:ascii="宋体" w:hAnsi="宋体" w:hint="eastAsia"/>
          <w:sz w:val="24"/>
        </w:rPr>
        <w:t>元</w:t>
      </w:r>
    </w:p>
    <w:p w14:paraId="5ABA214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赎回金额</w:t>
      </w:r>
      <w:r>
        <w:rPr>
          <w:rFonts w:ascii="宋体" w:hAnsi="宋体"/>
          <w:sz w:val="24"/>
        </w:rPr>
        <w:t xml:space="preserve"> = 10,000</w:t>
      </w:r>
      <w:r>
        <w:rPr>
          <w:rFonts w:ascii="宋体" w:hAnsi="宋体" w:hint="eastAsia"/>
          <w:sz w:val="24"/>
        </w:rPr>
        <w:t>×</w:t>
      </w:r>
      <w:r>
        <w:rPr>
          <w:rFonts w:ascii="宋体" w:hAnsi="宋体"/>
          <w:sz w:val="24"/>
        </w:rPr>
        <w:t xml:space="preserve">1.0160-50.80 </w:t>
      </w:r>
      <w:r>
        <w:rPr>
          <w:rFonts w:ascii="宋体" w:hAnsi="宋体" w:hint="eastAsia"/>
          <w:sz w:val="24"/>
        </w:rPr>
        <w:t>＝</w:t>
      </w:r>
      <w:r>
        <w:rPr>
          <w:rFonts w:ascii="宋体" w:hAnsi="宋体"/>
          <w:sz w:val="24"/>
        </w:rPr>
        <w:t xml:space="preserve"> 10,109.20 </w:t>
      </w:r>
      <w:r>
        <w:rPr>
          <w:rFonts w:ascii="宋体" w:hAnsi="宋体" w:hint="eastAsia"/>
          <w:sz w:val="24"/>
        </w:rPr>
        <w:t>元</w:t>
      </w:r>
    </w:p>
    <w:p w14:paraId="319B41E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即：该投资者赎回本基金</w:t>
      </w:r>
      <w:r>
        <w:rPr>
          <w:rFonts w:ascii="宋体" w:hAnsi="宋体"/>
          <w:sz w:val="24"/>
        </w:rPr>
        <w:t xml:space="preserve">10,000 </w:t>
      </w:r>
      <w:r>
        <w:rPr>
          <w:rFonts w:ascii="宋体" w:hAnsi="宋体" w:hint="eastAsia"/>
          <w:sz w:val="24"/>
        </w:rPr>
        <w:t>份</w:t>
      </w:r>
      <w:r>
        <w:rPr>
          <w:rFonts w:ascii="宋体" w:hAnsi="宋体"/>
          <w:sz w:val="24"/>
        </w:rPr>
        <w:t xml:space="preserve">A </w:t>
      </w:r>
      <w:r>
        <w:rPr>
          <w:rFonts w:ascii="宋体" w:hAnsi="宋体" w:hint="eastAsia"/>
          <w:sz w:val="24"/>
        </w:rPr>
        <w:t>类基金份额，持有期限为</w:t>
      </w:r>
      <w:r>
        <w:rPr>
          <w:rFonts w:ascii="宋体" w:hAnsi="宋体"/>
          <w:sz w:val="24"/>
        </w:rPr>
        <w:t xml:space="preserve">30 </w:t>
      </w:r>
      <w:r>
        <w:rPr>
          <w:rFonts w:ascii="宋体" w:hAnsi="宋体" w:hint="eastAsia"/>
          <w:sz w:val="24"/>
        </w:rPr>
        <w:t>日，对应的赎回费率为</w:t>
      </w:r>
      <w:r>
        <w:rPr>
          <w:rFonts w:ascii="宋体" w:hAnsi="宋体"/>
          <w:sz w:val="24"/>
        </w:rPr>
        <w:t>0.5%</w:t>
      </w:r>
      <w:r>
        <w:rPr>
          <w:rFonts w:ascii="宋体" w:hAnsi="宋体" w:hint="eastAsia"/>
          <w:sz w:val="24"/>
        </w:rPr>
        <w:t>，假设赎回当日</w:t>
      </w:r>
      <w:r>
        <w:rPr>
          <w:rFonts w:ascii="宋体" w:hAnsi="宋体"/>
          <w:sz w:val="24"/>
        </w:rPr>
        <w:t xml:space="preserve">A </w:t>
      </w:r>
      <w:r>
        <w:rPr>
          <w:rFonts w:ascii="宋体" w:hAnsi="宋体" w:hint="eastAsia"/>
          <w:sz w:val="24"/>
        </w:rPr>
        <w:t>类基金份额净值是</w:t>
      </w:r>
      <w:r>
        <w:rPr>
          <w:rFonts w:ascii="宋体" w:hAnsi="宋体"/>
          <w:sz w:val="24"/>
        </w:rPr>
        <w:t xml:space="preserve">1.0160 </w:t>
      </w:r>
      <w:r>
        <w:rPr>
          <w:rFonts w:ascii="宋体" w:hAnsi="宋体" w:hint="eastAsia"/>
          <w:sz w:val="24"/>
        </w:rPr>
        <w:t>元，则其可得到的赎回金额为</w:t>
      </w:r>
      <w:r>
        <w:rPr>
          <w:rFonts w:ascii="宋体" w:hAnsi="宋体"/>
          <w:sz w:val="24"/>
        </w:rPr>
        <w:t xml:space="preserve">10,109.20 </w:t>
      </w:r>
      <w:r>
        <w:rPr>
          <w:rFonts w:ascii="宋体" w:hAnsi="宋体" w:hint="eastAsia"/>
          <w:sz w:val="24"/>
        </w:rPr>
        <w:t>元。</w:t>
      </w:r>
    </w:p>
    <w:p w14:paraId="2C3C6C6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例六：某投资者赎回持有的</w:t>
      </w:r>
      <w:r>
        <w:rPr>
          <w:rFonts w:ascii="宋体" w:hAnsi="宋体"/>
          <w:sz w:val="24"/>
        </w:rPr>
        <w:t xml:space="preserve">10,000 </w:t>
      </w:r>
      <w:r>
        <w:rPr>
          <w:rFonts w:ascii="宋体" w:hAnsi="宋体" w:hint="eastAsia"/>
          <w:sz w:val="24"/>
        </w:rPr>
        <w:t>份</w:t>
      </w:r>
      <w:r>
        <w:rPr>
          <w:rFonts w:ascii="宋体" w:hAnsi="宋体"/>
          <w:sz w:val="24"/>
        </w:rPr>
        <w:t xml:space="preserve">C </w:t>
      </w:r>
      <w:r>
        <w:rPr>
          <w:rFonts w:ascii="宋体" w:hAnsi="宋体" w:hint="eastAsia"/>
          <w:sz w:val="24"/>
        </w:rPr>
        <w:t>类基金份额，持有期限为</w:t>
      </w:r>
      <w:r>
        <w:rPr>
          <w:rFonts w:ascii="宋体" w:hAnsi="宋体"/>
          <w:sz w:val="24"/>
        </w:rPr>
        <w:t xml:space="preserve">7 </w:t>
      </w:r>
      <w:r>
        <w:rPr>
          <w:rFonts w:ascii="宋体" w:hAnsi="宋体" w:hint="eastAsia"/>
          <w:sz w:val="24"/>
        </w:rPr>
        <w:t>日，对应的赎回费率为</w:t>
      </w:r>
      <w:r>
        <w:rPr>
          <w:rFonts w:ascii="宋体" w:hAnsi="宋体"/>
          <w:sz w:val="24"/>
        </w:rPr>
        <w:t>0.5%</w:t>
      </w:r>
      <w:r>
        <w:rPr>
          <w:rFonts w:ascii="宋体" w:hAnsi="宋体" w:hint="eastAsia"/>
          <w:sz w:val="24"/>
        </w:rPr>
        <w:t>，假设赎回当日</w:t>
      </w:r>
      <w:r>
        <w:rPr>
          <w:rFonts w:ascii="宋体" w:hAnsi="宋体"/>
          <w:sz w:val="24"/>
        </w:rPr>
        <w:t xml:space="preserve">C </w:t>
      </w:r>
      <w:r>
        <w:rPr>
          <w:rFonts w:ascii="宋体" w:hAnsi="宋体" w:hint="eastAsia"/>
          <w:sz w:val="24"/>
        </w:rPr>
        <w:t>类基金份额净值是</w:t>
      </w:r>
      <w:r>
        <w:rPr>
          <w:rFonts w:ascii="宋体" w:hAnsi="宋体"/>
          <w:sz w:val="24"/>
        </w:rPr>
        <w:t xml:space="preserve">1.0160 </w:t>
      </w:r>
      <w:r>
        <w:rPr>
          <w:rFonts w:ascii="宋体" w:hAnsi="宋体" w:hint="eastAsia"/>
          <w:sz w:val="24"/>
        </w:rPr>
        <w:t>元，则其可得到的赎回金额为：</w:t>
      </w:r>
    </w:p>
    <w:p w14:paraId="251850D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赎回费用</w:t>
      </w:r>
      <w:r>
        <w:rPr>
          <w:rFonts w:ascii="宋体" w:hAnsi="宋体"/>
          <w:sz w:val="24"/>
        </w:rPr>
        <w:t xml:space="preserve"> = 10,000</w:t>
      </w:r>
      <w:r>
        <w:rPr>
          <w:rFonts w:ascii="宋体" w:hAnsi="宋体" w:hint="eastAsia"/>
          <w:sz w:val="24"/>
        </w:rPr>
        <w:t>×</w:t>
      </w:r>
      <w:r>
        <w:rPr>
          <w:rFonts w:ascii="宋体" w:hAnsi="宋体"/>
          <w:sz w:val="24"/>
        </w:rPr>
        <w:t>1.0160</w:t>
      </w:r>
      <w:r>
        <w:rPr>
          <w:rFonts w:ascii="宋体" w:hAnsi="宋体" w:hint="eastAsia"/>
          <w:sz w:val="24"/>
        </w:rPr>
        <w:t>×</w:t>
      </w:r>
      <w:r>
        <w:rPr>
          <w:rFonts w:ascii="宋体" w:hAnsi="宋体"/>
          <w:sz w:val="24"/>
        </w:rPr>
        <w:t xml:space="preserve">0.5% </w:t>
      </w:r>
      <w:r>
        <w:rPr>
          <w:rFonts w:ascii="宋体" w:hAnsi="宋体" w:hint="eastAsia"/>
          <w:sz w:val="24"/>
        </w:rPr>
        <w:t>＝</w:t>
      </w:r>
      <w:r>
        <w:rPr>
          <w:rFonts w:ascii="宋体" w:hAnsi="宋体"/>
          <w:sz w:val="24"/>
        </w:rPr>
        <w:t xml:space="preserve"> 50.80 </w:t>
      </w:r>
      <w:r>
        <w:rPr>
          <w:rFonts w:ascii="宋体" w:hAnsi="宋体" w:hint="eastAsia"/>
          <w:sz w:val="24"/>
        </w:rPr>
        <w:t>元</w:t>
      </w:r>
    </w:p>
    <w:p w14:paraId="30E2074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赎回金额</w:t>
      </w:r>
      <w:r>
        <w:rPr>
          <w:rFonts w:ascii="宋体" w:hAnsi="宋体"/>
          <w:sz w:val="24"/>
        </w:rPr>
        <w:t xml:space="preserve"> = 10,000</w:t>
      </w:r>
      <w:r>
        <w:rPr>
          <w:rFonts w:ascii="宋体" w:hAnsi="宋体" w:hint="eastAsia"/>
          <w:sz w:val="24"/>
        </w:rPr>
        <w:t>×</w:t>
      </w:r>
      <w:r>
        <w:rPr>
          <w:rFonts w:ascii="宋体" w:hAnsi="宋体"/>
          <w:sz w:val="24"/>
        </w:rPr>
        <w:t xml:space="preserve">1.0160-50.80 </w:t>
      </w:r>
      <w:r>
        <w:rPr>
          <w:rFonts w:ascii="宋体" w:hAnsi="宋体" w:hint="eastAsia"/>
          <w:sz w:val="24"/>
        </w:rPr>
        <w:t>＝</w:t>
      </w:r>
      <w:r>
        <w:rPr>
          <w:rFonts w:ascii="宋体" w:hAnsi="宋体"/>
          <w:sz w:val="24"/>
        </w:rPr>
        <w:t xml:space="preserve"> 10,109.20 </w:t>
      </w:r>
      <w:r>
        <w:rPr>
          <w:rFonts w:ascii="宋体" w:hAnsi="宋体" w:hint="eastAsia"/>
          <w:sz w:val="24"/>
        </w:rPr>
        <w:t>元</w:t>
      </w:r>
    </w:p>
    <w:p w14:paraId="6A3DC0A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即：该投资者赎回本基金</w:t>
      </w:r>
      <w:r>
        <w:rPr>
          <w:rFonts w:ascii="宋体" w:hAnsi="宋体"/>
          <w:sz w:val="24"/>
        </w:rPr>
        <w:t xml:space="preserve">10,000 </w:t>
      </w:r>
      <w:r>
        <w:rPr>
          <w:rFonts w:ascii="宋体" w:hAnsi="宋体" w:hint="eastAsia"/>
          <w:sz w:val="24"/>
        </w:rPr>
        <w:t>份</w:t>
      </w:r>
      <w:r>
        <w:rPr>
          <w:rFonts w:ascii="宋体" w:hAnsi="宋体"/>
          <w:sz w:val="24"/>
        </w:rPr>
        <w:t xml:space="preserve">C </w:t>
      </w:r>
      <w:r>
        <w:rPr>
          <w:rFonts w:ascii="宋体" w:hAnsi="宋体" w:hint="eastAsia"/>
          <w:sz w:val="24"/>
        </w:rPr>
        <w:t>类基金份额，持有期限为</w:t>
      </w:r>
      <w:r>
        <w:rPr>
          <w:rFonts w:ascii="宋体" w:hAnsi="宋体"/>
          <w:sz w:val="24"/>
        </w:rPr>
        <w:t xml:space="preserve">7 </w:t>
      </w:r>
      <w:r>
        <w:rPr>
          <w:rFonts w:ascii="宋体" w:hAnsi="宋体" w:hint="eastAsia"/>
          <w:sz w:val="24"/>
        </w:rPr>
        <w:t>日，对应的赎回费率为</w:t>
      </w:r>
      <w:r>
        <w:rPr>
          <w:rFonts w:ascii="宋体" w:hAnsi="宋体"/>
          <w:sz w:val="24"/>
        </w:rPr>
        <w:t>0.5%</w:t>
      </w:r>
      <w:r>
        <w:rPr>
          <w:rFonts w:ascii="宋体" w:hAnsi="宋体" w:hint="eastAsia"/>
          <w:sz w:val="24"/>
        </w:rPr>
        <w:t>，假设赎回当日</w:t>
      </w:r>
      <w:r>
        <w:rPr>
          <w:rFonts w:ascii="宋体" w:hAnsi="宋体"/>
          <w:sz w:val="24"/>
        </w:rPr>
        <w:t xml:space="preserve">C </w:t>
      </w:r>
      <w:r>
        <w:rPr>
          <w:rFonts w:ascii="宋体" w:hAnsi="宋体" w:hint="eastAsia"/>
          <w:sz w:val="24"/>
        </w:rPr>
        <w:t>类基金份额净值是</w:t>
      </w:r>
      <w:r>
        <w:rPr>
          <w:rFonts w:ascii="宋体" w:hAnsi="宋体"/>
          <w:sz w:val="24"/>
        </w:rPr>
        <w:t xml:space="preserve">1.0160 </w:t>
      </w:r>
      <w:r>
        <w:rPr>
          <w:rFonts w:ascii="宋体" w:hAnsi="宋体" w:hint="eastAsia"/>
          <w:sz w:val="24"/>
        </w:rPr>
        <w:t>元，则其可得到的赎回金额为</w:t>
      </w:r>
      <w:r>
        <w:rPr>
          <w:rFonts w:ascii="宋体" w:hAnsi="宋体"/>
          <w:sz w:val="24"/>
        </w:rPr>
        <w:t xml:space="preserve">10,109.20 </w:t>
      </w:r>
      <w:r>
        <w:rPr>
          <w:rFonts w:ascii="宋体" w:hAnsi="宋体" w:hint="eastAsia"/>
          <w:sz w:val="24"/>
        </w:rPr>
        <w:t>元。</w:t>
      </w:r>
    </w:p>
    <w:p w14:paraId="5E139CCE"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4</w:t>
      </w:r>
      <w:r>
        <w:rPr>
          <w:rFonts w:ascii="宋体" w:hAnsi="宋体" w:hint="eastAsia"/>
          <w:sz w:val="24"/>
        </w:rPr>
        <w:t>、基金份额净值的计算公式</w:t>
      </w:r>
    </w:p>
    <w:p w14:paraId="31736D2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基金份额净值＝基金资产净值总额</w:t>
      </w:r>
      <w:r>
        <w:rPr>
          <w:rFonts w:ascii="宋体" w:hAnsi="宋体"/>
          <w:sz w:val="24"/>
        </w:rPr>
        <w:t>/</w:t>
      </w:r>
      <w:r>
        <w:rPr>
          <w:rFonts w:ascii="宋体" w:hAnsi="宋体" w:hint="eastAsia"/>
          <w:sz w:val="24"/>
        </w:rPr>
        <w:t>发行在外的基金份额总数</w:t>
      </w:r>
    </w:p>
    <w:p w14:paraId="342EE3E8" w14:textId="77777777" w:rsidR="008A6127" w:rsidRDefault="00437D9F">
      <w:pPr>
        <w:snapToGrid w:val="0"/>
        <w:spacing w:line="360" w:lineRule="auto"/>
        <w:ind w:firstLineChars="200" w:firstLine="480"/>
        <w:rPr>
          <w:rFonts w:ascii="宋体" w:hAnsi="宋体"/>
          <w:sz w:val="24"/>
        </w:rPr>
      </w:pPr>
      <w:bookmarkStart w:id="244" w:name="_Hlk1122976"/>
      <w:r>
        <w:rPr>
          <w:rFonts w:ascii="宋体" w:hAnsi="宋体"/>
          <w:sz w:val="24"/>
        </w:rPr>
        <w:t>本基金</w:t>
      </w:r>
      <w:r>
        <w:rPr>
          <w:rFonts w:ascii="宋体" w:hAnsi="宋体" w:hint="eastAsia"/>
          <w:sz w:val="24"/>
        </w:rPr>
        <w:t>各类别基金</w:t>
      </w:r>
      <w:r>
        <w:rPr>
          <w:rFonts w:ascii="宋体" w:hAnsi="宋体"/>
          <w:sz w:val="24"/>
        </w:rPr>
        <w:t>份额净值的计算，保留到小数点后</w:t>
      </w:r>
      <w:r>
        <w:rPr>
          <w:rFonts w:ascii="宋体" w:hAnsi="宋体" w:hint="eastAsia"/>
          <w:sz w:val="24"/>
        </w:rPr>
        <w:t>4</w:t>
      </w:r>
      <w:r>
        <w:rPr>
          <w:rFonts w:ascii="宋体" w:hAnsi="宋体"/>
          <w:sz w:val="24"/>
        </w:rPr>
        <w:t>位，小数点后第</w:t>
      </w:r>
      <w:r>
        <w:rPr>
          <w:rFonts w:ascii="宋体" w:hAnsi="宋体" w:hint="eastAsia"/>
          <w:sz w:val="24"/>
        </w:rPr>
        <w:t>5</w:t>
      </w:r>
      <w:r>
        <w:rPr>
          <w:rFonts w:ascii="宋体" w:hAnsi="宋体"/>
          <w:sz w:val="24"/>
        </w:rPr>
        <w:t>位四舍五入，由此产生的收益或损失由基金财产承担。T日的基金份额净值在当天收市后计算，并在T+</w:t>
      </w:r>
      <w:r>
        <w:rPr>
          <w:rFonts w:ascii="宋体" w:hAnsi="宋体" w:hint="eastAsia"/>
          <w:sz w:val="24"/>
        </w:rPr>
        <w:t>1</w:t>
      </w:r>
      <w:r>
        <w:rPr>
          <w:rFonts w:ascii="宋体" w:hAnsi="宋体"/>
          <w:sz w:val="24"/>
        </w:rPr>
        <w:t>日内</w:t>
      </w:r>
      <w:r>
        <w:rPr>
          <w:rFonts w:ascii="宋体" w:hAnsi="宋体" w:hint="eastAsia"/>
          <w:sz w:val="24"/>
        </w:rPr>
        <w:t>（包括该日）</w:t>
      </w:r>
      <w:r>
        <w:rPr>
          <w:rFonts w:ascii="宋体" w:hAnsi="宋体"/>
          <w:sz w:val="24"/>
        </w:rPr>
        <w:t>公告。遇特殊情况，</w:t>
      </w:r>
      <w:r>
        <w:rPr>
          <w:rFonts w:ascii="宋体" w:hAnsi="宋体" w:hint="eastAsia"/>
          <w:sz w:val="24"/>
        </w:rPr>
        <w:t>经履行适当程序</w:t>
      </w:r>
      <w:r>
        <w:rPr>
          <w:rFonts w:ascii="宋体" w:hAnsi="宋体"/>
          <w:sz w:val="24"/>
        </w:rPr>
        <w:t>，可以适当延迟计算或公告。</w:t>
      </w:r>
      <w:bookmarkEnd w:id="244"/>
    </w:p>
    <w:p w14:paraId="05EA0F5B" w14:textId="77777777" w:rsidR="008A6127" w:rsidRDefault="00437D9F">
      <w:pPr>
        <w:pStyle w:val="a9"/>
        <w:snapToGrid w:val="0"/>
        <w:ind w:firstLineChars="200" w:firstLine="482"/>
        <w:rPr>
          <w:rFonts w:ascii="宋体" w:hAnsi="宋体"/>
          <w:b/>
        </w:rPr>
      </w:pPr>
      <w:r>
        <w:rPr>
          <w:rFonts w:ascii="宋体" w:hAnsi="宋体" w:hint="eastAsia"/>
          <w:b/>
        </w:rPr>
        <w:t>（八）申购和赎回的登记</w:t>
      </w:r>
    </w:p>
    <w:p w14:paraId="7F5BC1E3"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、本基金申购与赎回的登记业务按照登记机构的有关规定办理。正常情况下，投资人</w:t>
      </w:r>
      <w:r>
        <w:rPr>
          <w:rFonts w:ascii="宋体" w:hAnsi="宋体"/>
          <w:sz w:val="24"/>
        </w:rPr>
        <w:t>T</w:t>
      </w:r>
      <w:r>
        <w:rPr>
          <w:rFonts w:ascii="宋体" w:hAnsi="宋体" w:hint="eastAsia"/>
          <w:sz w:val="24"/>
        </w:rPr>
        <w:t>日申购基金成功后，登记机构在</w:t>
      </w:r>
      <w:r>
        <w:rPr>
          <w:rFonts w:ascii="宋体" w:hAnsi="宋体"/>
          <w:sz w:val="24"/>
        </w:rPr>
        <w:t>T</w:t>
      </w:r>
      <w:r>
        <w:rPr>
          <w:rFonts w:ascii="宋体" w:hAnsi="宋体" w:hint="eastAsia"/>
          <w:sz w:val="24"/>
        </w:rPr>
        <w:t>＋</w:t>
      </w:r>
      <w:r>
        <w:rPr>
          <w:rFonts w:ascii="宋体" w:hAnsi="宋体"/>
          <w:sz w:val="24"/>
        </w:rPr>
        <w:t>1</w:t>
      </w:r>
      <w:r>
        <w:rPr>
          <w:rFonts w:ascii="宋体" w:hAnsi="宋体" w:hint="eastAsia"/>
          <w:sz w:val="24"/>
        </w:rPr>
        <w:t>日内为投资人登记权益并办理登记结算手续，投资者人</w:t>
      </w:r>
      <w:r>
        <w:rPr>
          <w:rFonts w:ascii="宋体" w:hAnsi="宋体"/>
          <w:sz w:val="24"/>
        </w:rPr>
        <w:t>T</w:t>
      </w:r>
      <w:r>
        <w:rPr>
          <w:rFonts w:ascii="宋体" w:hAnsi="宋体" w:hint="eastAsia"/>
          <w:sz w:val="24"/>
        </w:rPr>
        <w:t>＋</w:t>
      </w:r>
      <w:r>
        <w:rPr>
          <w:rFonts w:ascii="宋体" w:hAnsi="宋体"/>
          <w:sz w:val="24"/>
        </w:rPr>
        <w:t>2</w:t>
      </w:r>
      <w:r>
        <w:rPr>
          <w:rFonts w:ascii="宋体" w:hAnsi="宋体" w:hint="eastAsia"/>
          <w:sz w:val="24"/>
        </w:rPr>
        <w:t>日起（含该日）有权赎回该部分基金份额。</w:t>
      </w:r>
    </w:p>
    <w:p w14:paraId="7E2A2BA1"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、投资者</w:t>
      </w:r>
      <w:r>
        <w:rPr>
          <w:rFonts w:ascii="宋体" w:hAnsi="宋体"/>
          <w:sz w:val="24"/>
        </w:rPr>
        <w:t>T</w:t>
      </w:r>
      <w:r>
        <w:rPr>
          <w:rFonts w:ascii="宋体" w:hAnsi="宋体" w:hint="eastAsia"/>
          <w:sz w:val="24"/>
        </w:rPr>
        <w:t>日赎回成功后，正常情况下，登记机构在</w:t>
      </w:r>
      <w:r>
        <w:rPr>
          <w:rFonts w:ascii="宋体" w:hAnsi="宋体"/>
          <w:sz w:val="24"/>
        </w:rPr>
        <w:t>T</w:t>
      </w:r>
      <w:r>
        <w:rPr>
          <w:rFonts w:ascii="宋体" w:hAnsi="宋体" w:hint="eastAsia"/>
          <w:sz w:val="24"/>
        </w:rPr>
        <w:t>＋</w:t>
      </w:r>
      <w:r>
        <w:rPr>
          <w:rFonts w:ascii="宋体" w:hAnsi="宋体"/>
          <w:sz w:val="24"/>
        </w:rPr>
        <w:t>1</w:t>
      </w:r>
      <w:r>
        <w:rPr>
          <w:rFonts w:ascii="宋体" w:hAnsi="宋体" w:hint="eastAsia"/>
          <w:sz w:val="24"/>
        </w:rPr>
        <w:t>日内为投资人扣除权益并办理相应的登记结算手续。</w:t>
      </w:r>
    </w:p>
    <w:p w14:paraId="32D8BD9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3、基金管理人可以在法律法规允许的范围内，对上述登记办理时间进行调整，但不得实质影响投资</w:t>
      </w:r>
      <w:r>
        <w:rPr>
          <w:rFonts w:ascii="宋体" w:hAnsi="宋体"/>
          <w:sz w:val="24"/>
        </w:rPr>
        <w:t>人</w:t>
      </w:r>
      <w:r>
        <w:rPr>
          <w:rFonts w:ascii="宋体" w:hAnsi="宋体" w:hint="eastAsia"/>
          <w:sz w:val="24"/>
        </w:rPr>
        <w:t>的合法权益，并最迟于实施前依照《信息披露办法》的有关规定在</w:t>
      </w:r>
      <w:r>
        <w:rPr>
          <w:rFonts w:ascii="宋体" w:hAnsi="宋体"/>
          <w:sz w:val="24"/>
        </w:rPr>
        <w:t>规定媒介</w:t>
      </w:r>
      <w:r>
        <w:rPr>
          <w:rFonts w:ascii="宋体" w:hAnsi="宋体" w:hint="eastAsia"/>
          <w:sz w:val="24"/>
        </w:rPr>
        <w:t>公告。</w:t>
      </w:r>
    </w:p>
    <w:p w14:paraId="3FEE3EAB" w14:textId="77777777" w:rsidR="008A6127" w:rsidRDefault="00437D9F">
      <w:pPr>
        <w:pStyle w:val="a9"/>
        <w:snapToGrid w:val="0"/>
        <w:ind w:firstLineChars="200" w:firstLine="482"/>
        <w:rPr>
          <w:rFonts w:ascii="宋体" w:hAnsi="宋体"/>
          <w:b/>
        </w:rPr>
      </w:pPr>
      <w:r>
        <w:rPr>
          <w:rFonts w:ascii="宋体" w:hAnsi="宋体" w:hint="eastAsia"/>
          <w:b/>
        </w:rPr>
        <w:t>（九）拒绝或暂停申购的情形</w:t>
      </w:r>
    </w:p>
    <w:p w14:paraId="31E706C8" w14:textId="77777777" w:rsidR="008A6127" w:rsidRDefault="00437D9F">
      <w:pPr>
        <w:snapToGrid w:val="0"/>
        <w:spacing w:line="360" w:lineRule="auto"/>
        <w:ind w:firstLineChars="200" w:firstLine="480"/>
        <w:rPr>
          <w:rFonts w:ascii="宋体" w:hAnsi="宋体"/>
          <w:sz w:val="24"/>
        </w:rPr>
      </w:pPr>
      <w:bookmarkStart w:id="245" w:name="_Hlk1123151"/>
      <w:r>
        <w:rPr>
          <w:rFonts w:ascii="宋体" w:hAnsi="宋体"/>
          <w:sz w:val="24"/>
        </w:rPr>
        <w:t>发生下列情况时，基金管理人可拒绝或暂停接受投资人的申购申请：</w:t>
      </w:r>
    </w:p>
    <w:p w14:paraId="06FBE646"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w:t>
      </w:r>
      <w:r>
        <w:rPr>
          <w:rFonts w:ascii="宋体" w:hAnsi="宋体"/>
          <w:sz w:val="24"/>
        </w:rPr>
        <w:t>因不可抗力导致基金无法正常运作。</w:t>
      </w:r>
    </w:p>
    <w:p w14:paraId="08BDC714"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、发生基金合同规定的暂停基金资产估值情况时，基金管理人可暂停接受投资人的申购申请。</w:t>
      </w:r>
    </w:p>
    <w:p w14:paraId="738AEDD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r>
        <w:rPr>
          <w:rFonts w:ascii="宋体" w:hAnsi="宋体"/>
          <w:sz w:val="24"/>
        </w:rPr>
        <w:t>证券</w:t>
      </w:r>
      <w:r>
        <w:rPr>
          <w:rFonts w:ascii="宋体" w:hAnsi="宋体" w:hint="eastAsia"/>
          <w:sz w:val="24"/>
        </w:rPr>
        <w:t>、期货</w:t>
      </w:r>
      <w:r>
        <w:rPr>
          <w:rFonts w:ascii="宋体" w:hAnsi="宋体"/>
          <w:sz w:val="24"/>
        </w:rPr>
        <w:t>交易所交易时间非正常停市，导致基金管理人无法计算当日基金资产净值。</w:t>
      </w:r>
    </w:p>
    <w:p w14:paraId="33D3CF1D" w14:textId="77777777" w:rsidR="008A6127" w:rsidRDefault="00437D9F">
      <w:pPr>
        <w:snapToGrid w:val="0"/>
        <w:spacing w:line="360" w:lineRule="auto"/>
        <w:ind w:firstLineChars="200" w:firstLine="480"/>
        <w:rPr>
          <w:rFonts w:ascii="宋体" w:hAnsi="宋体"/>
          <w:sz w:val="24"/>
        </w:rPr>
      </w:pPr>
      <w:bookmarkStart w:id="246" w:name="_Hlt70481650"/>
      <w:bookmarkEnd w:id="246"/>
      <w:r>
        <w:rPr>
          <w:rFonts w:ascii="宋体" w:hAnsi="宋体" w:hint="eastAsia"/>
          <w:sz w:val="24"/>
        </w:rPr>
        <w:t>4、</w:t>
      </w:r>
      <w:r>
        <w:rPr>
          <w:rFonts w:ascii="宋体" w:hAnsi="宋体"/>
          <w:sz w:val="24"/>
        </w:rPr>
        <w:t>接受某笔或某些申购申请可能会影响或损害现有基金份额持有人利益时。</w:t>
      </w:r>
    </w:p>
    <w:p w14:paraId="5FBD5C6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w:t>
      </w:r>
      <w:r>
        <w:rPr>
          <w:rFonts w:ascii="宋体" w:hAnsi="宋体"/>
          <w:sz w:val="24"/>
        </w:rPr>
        <w:t>基金资产规模过大，使基金管理人无法找到合适的投资品种，或其他可能对基金业绩产生负面影响，或其他损害现有基金份额持有人利益的情形。</w:t>
      </w:r>
    </w:p>
    <w:p w14:paraId="7E8DF51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6、当前一估值日基金资产净值50%以上的资产出现无可参考的活跃市场价格且采用估值技术</w:t>
      </w:r>
      <w:proofErr w:type="gramStart"/>
      <w:r>
        <w:rPr>
          <w:rFonts w:ascii="宋体" w:hAnsi="宋体" w:hint="eastAsia"/>
          <w:sz w:val="24"/>
        </w:rPr>
        <w:t>仍导致</w:t>
      </w:r>
      <w:proofErr w:type="gramEnd"/>
      <w:r>
        <w:rPr>
          <w:rFonts w:ascii="宋体" w:hAnsi="宋体" w:hint="eastAsia"/>
          <w:sz w:val="24"/>
        </w:rPr>
        <w:t>公允价值存在重大不确定性时，经与基金托管人协商确认后，基金管理人应当暂停接受基金申购申请。</w:t>
      </w:r>
    </w:p>
    <w:p w14:paraId="26FF625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7、基金管理人接受某笔或者某些申购申请有可能导致单一投资者持有基金份额的比例达到或者超过50%，或者变相规避50%集中度的情形。</w:t>
      </w:r>
    </w:p>
    <w:p w14:paraId="2E6D9E3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8、基金管理人、基金托管人、销售机构、基金销售支付结算机构或登记机构的异常情况导致基金会计系统、基金销售系统、基金销售支付结算系统或基金注册登记系统无法正常运行。</w:t>
      </w:r>
    </w:p>
    <w:p w14:paraId="3E5B9DA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9、申请超过基金管理人设定的基金总规模、单日净申购比例上限、单一投资者单日或单笔申购金额上限的，出现上述情形时，基金管理人有权将上述申购申请全部或部分确认失败。</w:t>
      </w:r>
    </w:p>
    <w:p w14:paraId="5BBC5BFF" w14:textId="77777777" w:rsidR="008A6127" w:rsidRDefault="00437D9F">
      <w:pPr>
        <w:snapToGrid w:val="0"/>
        <w:spacing w:line="360" w:lineRule="auto"/>
        <w:ind w:firstLineChars="200" w:firstLine="480"/>
        <w:rPr>
          <w:rFonts w:ascii="宋体" w:hAnsi="宋体"/>
          <w:sz w:val="24"/>
        </w:rPr>
      </w:pPr>
      <w:r>
        <w:rPr>
          <w:rFonts w:ascii="宋体" w:hAnsi="宋体"/>
          <w:sz w:val="24"/>
        </w:rPr>
        <w:t>10</w:t>
      </w:r>
      <w:r>
        <w:rPr>
          <w:rFonts w:ascii="宋体" w:hAnsi="宋体" w:hint="eastAsia"/>
          <w:sz w:val="24"/>
        </w:rPr>
        <w:t>、</w:t>
      </w:r>
      <w:r>
        <w:rPr>
          <w:rFonts w:ascii="宋体" w:hAnsi="宋体"/>
          <w:sz w:val="24"/>
        </w:rPr>
        <w:t>法律法规规定或中国证监会认定的其他情形。</w:t>
      </w:r>
    </w:p>
    <w:p w14:paraId="64222C49" w14:textId="77777777" w:rsidR="008A6127" w:rsidRDefault="00437D9F">
      <w:pPr>
        <w:snapToGrid w:val="0"/>
        <w:spacing w:line="360" w:lineRule="auto"/>
        <w:ind w:firstLineChars="200" w:firstLine="480"/>
        <w:rPr>
          <w:rFonts w:ascii="宋体" w:hAnsi="宋体"/>
          <w:sz w:val="24"/>
        </w:rPr>
      </w:pPr>
      <w:r>
        <w:rPr>
          <w:rFonts w:ascii="宋体" w:hAnsi="宋体"/>
          <w:sz w:val="24"/>
        </w:rPr>
        <w:t>发生上述第1、2、</w:t>
      </w:r>
      <w:r>
        <w:rPr>
          <w:rFonts w:ascii="宋体" w:hAnsi="宋体" w:hint="eastAsia"/>
          <w:sz w:val="24"/>
        </w:rPr>
        <w:t>3</w:t>
      </w:r>
      <w:r>
        <w:rPr>
          <w:rFonts w:ascii="宋体" w:hAnsi="宋体"/>
          <w:sz w:val="24"/>
        </w:rPr>
        <w:t>、5</w:t>
      </w:r>
      <w:r>
        <w:rPr>
          <w:rFonts w:ascii="宋体" w:hAnsi="宋体" w:hint="eastAsia"/>
          <w:sz w:val="24"/>
        </w:rPr>
        <w:t>、6、8、</w:t>
      </w:r>
      <w:r>
        <w:rPr>
          <w:rFonts w:ascii="宋体" w:hAnsi="宋体"/>
          <w:sz w:val="24"/>
        </w:rPr>
        <w:t>10项暂停申购情形之一</w:t>
      </w:r>
      <w:proofErr w:type="gramStart"/>
      <w:r>
        <w:rPr>
          <w:rFonts w:ascii="宋体" w:hAnsi="宋体"/>
          <w:sz w:val="24"/>
        </w:rPr>
        <w:t>且基金</w:t>
      </w:r>
      <w:proofErr w:type="gramEnd"/>
      <w:r>
        <w:rPr>
          <w:rFonts w:ascii="宋体" w:hAnsi="宋体"/>
          <w:sz w:val="24"/>
        </w:rPr>
        <w:t>管理人决定</w:t>
      </w:r>
      <w:r>
        <w:rPr>
          <w:rFonts w:ascii="宋体" w:hAnsi="宋体" w:hint="eastAsia"/>
          <w:sz w:val="24"/>
        </w:rPr>
        <w:t>拒绝或</w:t>
      </w:r>
      <w:r>
        <w:rPr>
          <w:rFonts w:ascii="宋体" w:hAnsi="宋体"/>
          <w:sz w:val="24"/>
        </w:rPr>
        <w:t>暂停接受投资人申购申请时，基金管理人应当根据有关规定在规定媒介上刊登暂停申购公告。如果投资人的申购申请被</w:t>
      </w:r>
      <w:r>
        <w:rPr>
          <w:rFonts w:ascii="宋体" w:hAnsi="宋体" w:hint="eastAsia"/>
          <w:sz w:val="24"/>
        </w:rPr>
        <w:t>全部或部分</w:t>
      </w:r>
      <w:r>
        <w:rPr>
          <w:rFonts w:ascii="宋体" w:hAnsi="宋体"/>
          <w:sz w:val="24"/>
        </w:rPr>
        <w:t>拒</w:t>
      </w:r>
      <w:r>
        <w:rPr>
          <w:rFonts w:ascii="宋体" w:hAnsi="宋体" w:hint="eastAsia"/>
          <w:sz w:val="24"/>
        </w:rPr>
        <w:t>绝，被拒绝的申购款项本金将退还给投资人。在</w:t>
      </w:r>
      <w:r>
        <w:rPr>
          <w:rFonts w:ascii="宋体" w:hAnsi="宋体"/>
          <w:sz w:val="24"/>
        </w:rPr>
        <w:t>暂停申购的情况消除时，基金管理人应及时恢复申购业务的办理。</w:t>
      </w:r>
      <w:bookmarkEnd w:id="245"/>
    </w:p>
    <w:p w14:paraId="0E09E6E1" w14:textId="77777777" w:rsidR="008A6127" w:rsidRDefault="00437D9F">
      <w:pPr>
        <w:pStyle w:val="a9"/>
        <w:snapToGrid w:val="0"/>
        <w:ind w:firstLineChars="200" w:firstLine="482"/>
        <w:rPr>
          <w:rFonts w:ascii="宋体" w:hAnsi="宋体"/>
          <w:b/>
        </w:rPr>
      </w:pPr>
      <w:r>
        <w:rPr>
          <w:rFonts w:ascii="宋体" w:hAnsi="宋体" w:hint="eastAsia"/>
          <w:b/>
        </w:rPr>
        <w:t>（十）暂停赎回或延缓支付赎回款项的情形</w:t>
      </w:r>
    </w:p>
    <w:p w14:paraId="2CEB10F8" w14:textId="77777777" w:rsidR="008A6127" w:rsidRDefault="00437D9F">
      <w:pPr>
        <w:snapToGrid w:val="0"/>
        <w:spacing w:line="360" w:lineRule="auto"/>
        <w:ind w:firstLineChars="200" w:firstLine="480"/>
        <w:rPr>
          <w:rFonts w:ascii="宋体" w:hAnsi="宋体"/>
          <w:sz w:val="24"/>
        </w:rPr>
      </w:pPr>
      <w:bookmarkStart w:id="247" w:name="_Hlk1130191"/>
      <w:r>
        <w:rPr>
          <w:rFonts w:ascii="宋体" w:hAnsi="宋体"/>
          <w:sz w:val="24"/>
        </w:rPr>
        <w:t>发生下列情形时，基金管理人可暂停接受投资人的赎回申请或延缓支付赎回款项：</w:t>
      </w:r>
    </w:p>
    <w:p w14:paraId="50F6BBA8"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w:t>
      </w:r>
      <w:r>
        <w:rPr>
          <w:rFonts w:ascii="宋体" w:hAnsi="宋体"/>
          <w:sz w:val="24"/>
        </w:rPr>
        <w:t>因不可抗力导致基金管理人不能支付赎回款项。</w:t>
      </w:r>
    </w:p>
    <w:p w14:paraId="2489F366"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、发生基金合同规定的暂停基金资产估值情况时，基金管理人可暂停接受投资人的赎回申请或延缓支付赎回款项。</w:t>
      </w:r>
    </w:p>
    <w:p w14:paraId="5B4B61F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r>
        <w:rPr>
          <w:rFonts w:ascii="宋体" w:hAnsi="宋体"/>
          <w:sz w:val="24"/>
        </w:rPr>
        <w:t>证券</w:t>
      </w:r>
      <w:r>
        <w:rPr>
          <w:rFonts w:ascii="宋体" w:hAnsi="宋体" w:hint="eastAsia"/>
          <w:sz w:val="24"/>
        </w:rPr>
        <w:t>、期货</w:t>
      </w:r>
      <w:r>
        <w:rPr>
          <w:rFonts w:ascii="宋体" w:hAnsi="宋体"/>
          <w:sz w:val="24"/>
        </w:rPr>
        <w:t>交易所交易时间非正常停市，导致基金管理人无法计算当日基金资产</w:t>
      </w:r>
      <w:bookmarkStart w:id="248" w:name="_Hlt152500890"/>
      <w:r>
        <w:rPr>
          <w:rFonts w:ascii="宋体" w:hAnsi="宋体"/>
          <w:sz w:val="24"/>
        </w:rPr>
        <w:t>净值。</w:t>
      </w:r>
    </w:p>
    <w:p w14:paraId="75F9959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连续两个或两个以上开放日发生巨额赎回。</w:t>
      </w:r>
    </w:p>
    <w:p w14:paraId="02EBEA45" w14:textId="77777777" w:rsidR="008A6127" w:rsidRDefault="00437D9F">
      <w:pPr>
        <w:snapToGrid w:val="0"/>
        <w:spacing w:line="360" w:lineRule="auto"/>
        <w:ind w:firstLineChars="200" w:firstLine="480"/>
        <w:rPr>
          <w:rFonts w:ascii="宋体" w:hAnsi="宋体"/>
          <w:sz w:val="24"/>
        </w:rPr>
      </w:pPr>
      <w:r>
        <w:rPr>
          <w:rFonts w:ascii="宋体" w:hAnsi="宋体"/>
          <w:sz w:val="24"/>
        </w:rPr>
        <w:t>5、发生继续接受赎回申请将损害现有基金份额持有人利益的情形时，基金管理人可暂停接受基金份额持有人的赎回申请。</w:t>
      </w:r>
    </w:p>
    <w:p w14:paraId="2F86FFA8" w14:textId="77777777" w:rsidR="008A6127" w:rsidRDefault="00437D9F">
      <w:pPr>
        <w:snapToGrid w:val="0"/>
        <w:spacing w:line="360" w:lineRule="auto"/>
        <w:ind w:firstLineChars="200" w:firstLine="480"/>
        <w:rPr>
          <w:rFonts w:ascii="宋体" w:hAnsi="宋体"/>
          <w:sz w:val="24"/>
        </w:rPr>
      </w:pPr>
      <w:r>
        <w:rPr>
          <w:rFonts w:ascii="宋体" w:hAnsi="宋体"/>
          <w:sz w:val="24"/>
        </w:rPr>
        <w:t>6、当前一估值日基金资产净值50%以上的资产出现无可参考的活跃市场价格且采用估值技术</w:t>
      </w:r>
      <w:proofErr w:type="gramStart"/>
      <w:r>
        <w:rPr>
          <w:rFonts w:ascii="宋体" w:hAnsi="宋体"/>
          <w:sz w:val="24"/>
        </w:rPr>
        <w:t>仍导致</w:t>
      </w:r>
      <w:proofErr w:type="gramEnd"/>
      <w:r>
        <w:rPr>
          <w:rFonts w:ascii="宋体" w:hAnsi="宋体"/>
          <w:sz w:val="24"/>
        </w:rPr>
        <w:t>公允价值存在重大不确定性时，经与基金托管人协商确认后，基金管理人应当延缓支付赎回款项或暂停接受基金赎回申请。</w:t>
      </w:r>
      <w:bookmarkEnd w:id="248"/>
    </w:p>
    <w:p w14:paraId="690A986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w:t>
      </w:r>
      <w:r>
        <w:rPr>
          <w:rFonts w:ascii="宋体" w:hAnsi="宋体"/>
          <w:sz w:val="24"/>
        </w:rPr>
        <w:t>法律法规规定或中国证监会认定的其他情形。</w:t>
      </w:r>
    </w:p>
    <w:p w14:paraId="5685F6D2" w14:textId="77777777" w:rsidR="008A6127" w:rsidRDefault="00437D9F">
      <w:pPr>
        <w:snapToGrid w:val="0"/>
        <w:spacing w:line="360" w:lineRule="auto"/>
        <w:ind w:firstLineChars="200" w:firstLine="480"/>
        <w:rPr>
          <w:rFonts w:ascii="宋体" w:hAnsi="宋体"/>
          <w:sz w:val="24"/>
        </w:rPr>
      </w:pPr>
      <w:r>
        <w:rPr>
          <w:rFonts w:ascii="宋体" w:hAnsi="宋体"/>
          <w:sz w:val="24"/>
        </w:rPr>
        <w:t>发生上述情形</w:t>
      </w:r>
      <w:r>
        <w:rPr>
          <w:rFonts w:ascii="宋体" w:hAnsi="宋体" w:hint="eastAsia"/>
          <w:sz w:val="24"/>
        </w:rPr>
        <w:t>（第</w:t>
      </w:r>
      <w:r>
        <w:rPr>
          <w:rFonts w:ascii="宋体" w:hAnsi="宋体"/>
          <w:sz w:val="24"/>
        </w:rPr>
        <w:t>4</w:t>
      </w:r>
      <w:r>
        <w:rPr>
          <w:rFonts w:ascii="宋体" w:hAnsi="宋体" w:hint="eastAsia"/>
          <w:sz w:val="24"/>
        </w:rPr>
        <w:t>项除外）</w:t>
      </w:r>
      <w:r>
        <w:rPr>
          <w:rFonts w:ascii="宋体" w:hAnsi="宋体"/>
          <w:sz w:val="24"/>
        </w:rPr>
        <w:t>之一</w:t>
      </w:r>
      <w:proofErr w:type="gramStart"/>
      <w:r>
        <w:rPr>
          <w:rFonts w:ascii="宋体" w:hAnsi="宋体"/>
          <w:sz w:val="24"/>
        </w:rPr>
        <w:t>且基金</w:t>
      </w:r>
      <w:proofErr w:type="gramEnd"/>
      <w:r>
        <w:rPr>
          <w:rFonts w:ascii="宋体" w:hAnsi="宋体"/>
          <w:sz w:val="24"/>
        </w:rPr>
        <w:t>管</w:t>
      </w:r>
      <w:r>
        <w:rPr>
          <w:rFonts w:ascii="宋体" w:hAnsi="宋体" w:hint="eastAsia"/>
          <w:sz w:val="24"/>
        </w:rPr>
        <w:t>理人决定暂停接受基金份额持有人的赎回申请或延缓支付赎回款项时，</w:t>
      </w:r>
      <w:r>
        <w:rPr>
          <w:rFonts w:ascii="宋体" w:hAnsi="宋体"/>
          <w:sz w:val="24"/>
        </w:rPr>
        <w:t>基金管理人应在当日报中国证监会备案，已确认的赎回申请，基金管理人应足额支付；如暂时不能足额支付，应将可支付</w:t>
      </w:r>
      <w:r>
        <w:rPr>
          <w:rFonts w:ascii="宋体" w:hAnsi="宋体"/>
          <w:sz w:val="24"/>
        </w:rPr>
        <w:lastRenderedPageBreak/>
        <w:t>部分按单个账户申请量占申请总量的比例分配给赎回申请人，未支付部分可延期支付。若出现上述第</w:t>
      </w:r>
      <w:r>
        <w:rPr>
          <w:rFonts w:ascii="宋体" w:hAnsi="宋体" w:hint="eastAsia"/>
          <w:sz w:val="24"/>
        </w:rPr>
        <w:t>4</w:t>
      </w:r>
      <w:r>
        <w:rPr>
          <w:rFonts w:ascii="宋体" w:hAnsi="宋体"/>
          <w:sz w:val="24"/>
        </w:rPr>
        <w:t>项所述情形，按基金合同的相关条款处理。基金份额持有人在申请赎回时可事先选择将当日可能未获受理部分予以撤销。在暂停赎回的情况消除时，基金管理人应及时恢复赎回业务的办理并公告。</w:t>
      </w:r>
      <w:bookmarkEnd w:id="247"/>
    </w:p>
    <w:p w14:paraId="6C5AA7BC" w14:textId="77777777" w:rsidR="008A6127" w:rsidRDefault="00437D9F">
      <w:pPr>
        <w:pStyle w:val="a9"/>
        <w:snapToGrid w:val="0"/>
        <w:ind w:firstLineChars="200" w:firstLine="482"/>
        <w:rPr>
          <w:rFonts w:ascii="宋体" w:hAnsi="宋体"/>
          <w:b/>
        </w:rPr>
      </w:pPr>
      <w:r>
        <w:rPr>
          <w:rFonts w:ascii="宋体" w:hAnsi="宋体" w:hint="eastAsia"/>
          <w:b/>
        </w:rPr>
        <w:t>（十一）巨额赎回的情形及处理方式</w:t>
      </w:r>
    </w:p>
    <w:p w14:paraId="6CE1C224" w14:textId="77777777" w:rsidR="008A6127" w:rsidRDefault="00437D9F">
      <w:pPr>
        <w:snapToGrid w:val="0"/>
        <w:spacing w:line="360" w:lineRule="auto"/>
        <w:ind w:firstLineChars="200" w:firstLine="480"/>
        <w:rPr>
          <w:rFonts w:ascii="宋体" w:hAnsi="宋体"/>
          <w:sz w:val="24"/>
        </w:rPr>
      </w:pPr>
      <w:bookmarkStart w:id="249" w:name="_Hlk1130249"/>
      <w:r>
        <w:rPr>
          <w:rFonts w:ascii="宋体" w:hAnsi="宋体"/>
          <w:sz w:val="24"/>
        </w:rPr>
        <w:t>1</w:t>
      </w:r>
      <w:r>
        <w:rPr>
          <w:rFonts w:ascii="宋体" w:hAnsi="宋体" w:hint="eastAsia"/>
          <w:sz w:val="24"/>
        </w:rPr>
        <w:t>、</w:t>
      </w:r>
      <w:r>
        <w:rPr>
          <w:rFonts w:ascii="宋体" w:hAnsi="宋体"/>
          <w:sz w:val="24"/>
        </w:rPr>
        <w:t>巨额赎回的认定</w:t>
      </w:r>
    </w:p>
    <w:p w14:paraId="2BE1E02E" w14:textId="77777777" w:rsidR="008A6127" w:rsidRDefault="00437D9F">
      <w:pPr>
        <w:snapToGrid w:val="0"/>
        <w:spacing w:line="360" w:lineRule="auto"/>
        <w:ind w:firstLineChars="200" w:firstLine="480"/>
        <w:rPr>
          <w:rFonts w:ascii="宋体" w:hAnsi="宋体"/>
          <w:sz w:val="24"/>
        </w:rPr>
      </w:pPr>
      <w:r>
        <w:rPr>
          <w:rFonts w:ascii="宋体" w:hAnsi="宋体"/>
          <w:sz w:val="24"/>
        </w:rPr>
        <w:t>若本基金单个开放日内的基金份额净赎回申请(赎回申请份额总数加上基金转换中转出申请份额总数后扣除申购申请份额总数及基金转换中转入申请份额总数后的余额)超过前一开放日的基金总份额的10</w:t>
      </w:r>
      <w:r>
        <w:rPr>
          <w:rFonts w:ascii="宋体" w:hAnsi="宋体" w:hint="eastAsia"/>
          <w:sz w:val="24"/>
        </w:rPr>
        <w:t>%</w:t>
      </w:r>
      <w:r>
        <w:rPr>
          <w:rFonts w:ascii="宋体" w:hAnsi="宋体"/>
          <w:sz w:val="24"/>
        </w:rPr>
        <w:t>，即认为是发生了巨额赎回。</w:t>
      </w:r>
    </w:p>
    <w:p w14:paraId="13621D5B"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巨额赎回的处理方式</w:t>
      </w:r>
    </w:p>
    <w:p w14:paraId="360CDAF7" w14:textId="77777777" w:rsidR="008A6127" w:rsidRDefault="00437D9F">
      <w:pPr>
        <w:snapToGrid w:val="0"/>
        <w:spacing w:line="360" w:lineRule="auto"/>
        <w:ind w:firstLineChars="200" w:firstLine="480"/>
        <w:rPr>
          <w:rFonts w:ascii="宋体" w:hAnsi="宋体"/>
          <w:sz w:val="24"/>
        </w:rPr>
      </w:pPr>
      <w:r>
        <w:rPr>
          <w:rFonts w:ascii="宋体" w:hAnsi="宋体"/>
          <w:sz w:val="24"/>
        </w:rPr>
        <w:t>当基金出现巨额赎回时，基金管理人可以根据基金当时的资产组合状况决定全额赎回或部分延期赎回。</w:t>
      </w:r>
    </w:p>
    <w:p w14:paraId="26390455" w14:textId="77777777" w:rsidR="008A6127" w:rsidRDefault="00437D9F">
      <w:pPr>
        <w:snapToGrid w:val="0"/>
        <w:spacing w:line="360" w:lineRule="auto"/>
        <w:ind w:firstLineChars="200" w:firstLine="480"/>
        <w:rPr>
          <w:rFonts w:ascii="宋体" w:hAnsi="宋体"/>
          <w:sz w:val="24"/>
        </w:rPr>
      </w:pPr>
      <w:r>
        <w:rPr>
          <w:rFonts w:ascii="宋体" w:hAnsi="宋体"/>
          <w:sz w:val="24"/>
        </w:rPr>
        <w:t>（1）全额赎回：当基金管理人认为有能力支付投资人的全部赎回申请时，按正常赎回程序执行。</w:t>
      </w:r>
    </w:p>
    <w:p w14:paraId="7467F91B"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2</w:t>
      </w:r>
      <w:r>
        <w:rPr>
          <w:rFonts w:ascii="宋体" w:hAnsi="宋体"/>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ascii="宋体" w:hAnsi="宋体" w:hint="eastAsia"/>
          <w:sz w:val="24"/>
        </w:rPr>
        <w:t>1</w:t>
      </w:r>
      <w:r>
        <w:rPr>
          <w:rFonts w:ascii="宋体" w:hAnsi="宋体"/>
          <w:sz w:val="24"/>
        </w:rPr>
        <w:t>0</w:t>
      </w:r>
      <w:r>
        <w:rPr>
          <w:rFonts w:ascii="宋体" w:hAnsi="宋体" w:hint="eastAsia"/>
          <w:sz w:val="24"/>
        </w:rPr>
        <w:t>%</w:t>
      </w:r>
      <w:r>
        <w:rPr>
          <w:rFonts w:ascii="宋体" w:hAnsi="宋体"/>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ascii="宋体" w:hAnsi="宋体"/>
          <w:sz w:val="24"/>
        </w:rPr>
        <w:t>并以下</w:t>
      </w:r>
      <w:proofErr w:type="gramEnd"/>
      <w:r>
        <w:rPr>
          <w:rFonts w:ascii="宋体" w:hAnsi="宋体"/>
          <w:sz w:val="24"/>
        </w:rPr>
        <w:t>一开放日</w:t>
      </w:r>
      <w:r>
        <w:rPr>
          <w:rFonts w:ascii="宋体" w:hAnsi="宋体" w:hint="eastAsia"/>
          <w:sz w:val="24"/>
        </w:rPr>
        <w:t>该类基金份额</w:t>
      </w:r>
      <w:r>
        <w:rPr>
          <w:rFonts w:ascii="宋体" w:hAnsi="宋体"/>
          <w:sz w:val="24"/>
        </w:rPr>
        <w:t>的基金份额净值为基础计算赎回金额，以此类推，直到全部赎回为止。如投资人在提交赎回申请时未作明确选择，投资人未能赎回部分作自动延期赎回处理。</w:t>
      </w:r>
      <w:r>
        <w:rPr>
          <w:rFonts w:ascii="宋体" w:hAnsi="宋体" w:hint="eastAsia"/>
          <w:sz w:val="24"/>
        </w:rPr>
        <w:t>部分延期赎回不受单笔赎回最低份额的限制。</w:t>
      </w:r>
    </w:p>
    <w:p w14:paraId="53CC84E8"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如果本基金发生巨额赎回且单个基金份额持有人的赎回申请超过上一开放日基金总份额10%的情形下，基金管理人有权采取如下措施：对于该类基金份额持有人当日超过10%的赎回申请，可以对其赎回申请延期办理，延期的赎回申请转入下一个开放日继续赎回，当日未获受理的部分赎回申请将被撤销。延期的赎回申请与下一开放日赎回申请一并处理，无优先权</w:t>
      </w:r>
      <w:proofErr w:type="gramStart"/>
      <w:r>
        <w:rPr>
          <w:rFonts w:ascii="宋体" w:hAnsi="宋体" w:hint="eastAsia"/>
          <w:sz w:val="24"/>
        </w:rPr>
        <w:t>并以下</w:t>
      </w:r>
      <w:proofErr w:type="gramEnd"/>
      <w:r>
        <w:rPr>
          <w:rFonts w:ascii="宋体" w:hAnsi="宋体" w:hint="eastAsia"/>
          <w:sz w:val="24"/>
        </w:rPr>
        <w:t>一开放日该类基金</w:t>
      </w:r>
      <w:r>
        <w:rPr>
          <w:rFonts w:ascii="宋体" w:hAnsi="宋体" w:hint="eastAsia"/>
          <w:sz w:val="24"/>
        </w:rPr>
        <w:lastRenderedPageBreak/>
        <w:t>份额的基金份额净值为基础计算赎回金额，以此类推，直到全部赎回为止；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14:paraId="68139B1C"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4</w:t>
      </w:r>
      <w:r>
        <w:rPr>
          <w:rFonts w:ascii="宋体" w:hAnsi="宋体"/>
          <w:sz w:val="24"/>
        </w:rPr>
        <w:t>）暂停赎回：连续2</w:t>
      </w:r>
      <w:r>
        <w:rPr>
          <w:rFonts w:ascii="宋体" w:hAnsi="宋体" w:hint="eastAsia"/>
          <w:sz w:val="24"/>
        </w:rPr>
        <w:t>个开放</w:t>
      </w:r>
      <w:r>
        <w:rPr>
          <w:rFonts w:ascii="宋体" w:hAnsi="宋体"/>
          <w:sz w:val="24"/>
        </w:rPr>
        <w:t>日以上(含本数)发生巨额赎回，如基金管理人认为有必要，可暂停接受基金的赎回申请；已经接受的赎回申请可以延缓支付赎回款项，但不得超过20个工作日，并应当在规定媒介上进行公告。</w:t>
      </w:r>
    </w:p>
    <w:p w14:paraId="5332716A"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w:t>
      </w:r>
      <w:r>
        <w:rPr>
          <w:rFonts w:ascii="宋体" w:hAnsi="宋体"/>
          <w:sz w:val="24"/>
        </w:rPr>
        <w:t>巨额赎回的公告</w:t>
      </w:r>
    </w:p>
    <w:p w14:paraId="5135CD18" w14:textId="77777777" w:rsidR="008A6127" w:rsidRDefault="00437D9F">
      <w:pPr>
        <w:snapToGrid w:val="0"/>
        <w:spacing w:line="360" w:lineRule="auto"/>
        <w:ind w:firstLineChars="200" w:firstLine="480"/>
        <w:rPr>
          <w:rFonts w:ascii="宋体" w:hAnsi="宋体"/>
          <w:sz w:val="24"/>
        </w:rPr>
      </w:pPr>
      <w:r>
        <w:rPr>
          <w:rFonts w:ascii="宋体" w:hAnsi="宋体"/>
          <w:sz w:val="24"/>
        </w:rPr>
        <w:t>当发生上述</w:t>
      </w:r>
      <w:r>
        <w:rPr>
          <w:rFonts w:ascii="宋体" w:hAnsi="宋体" w:hint="eastAsia"/>
          <w:sz w:val="24"/>
        </w:rPr>
        <w:t>巨额</w:t>
      </w:r>
      <w:r>
        <w:rPr>
          <w:rFonts w:ascii="宋体" w:hAnsi="宋体"/>
          <w:sz w:val="24"/>
        </w:rPr>
        <w:t>赎回并延期办理时，基金管理人应当通过邮寄、传真或者招募说明书规定的其他方式在</w:t>
      </w:r>
      <w:r>
        <w:rPr>
          <w:rFonts w:ascii="宋体" w:hAnsi="宋体" w:hint="eastAsia"/>
          <w:sz w:val="24"/>
        </w:rPr>
        <w:t>3</w:t>
      </w:r>
      <w:r>
        <w:rPr>
          <w:rFonts w:ascii="宋体" w:hAnsi="宋体"/>
          <w:sz w:val="24"/>
        </w:rPr>
        <w:t>个交易日内通知基金份额持有人，说明有关处理方法，</w:t>
      </w:r>
      <w:r>
        <w:rPr>
          <w:rFonts w:ascii="宋体" w:hAnsi="宋体" w:hint="eastAsia"/>
          <w:sz w:val="24"/>
        </w:rPr>
        <w:t>并在2日内在</w:t>
      </w:r>
      <w:r>
        <w:rPr>
          <w:rFonts w:ascii="宋体" w:hAnsi="宋体"/>
          <w:sz w:val="24"/>
        </w:rPr>
        <w:t>规定媒介</w:t>
      </w:r>
      <w:r>
        <w:rPr>
          <w:rFonts w:ascii="宋体" w:hAnsi="宋体" w:hint="eastAsia"/>
          <w:sz w:val="24"/>
        </w:rPr>
        <w:t>上刊登暂停公告</w:t>
      </w:r>
      <w:r>
        <w:rPr>
          <w:rFonts w:ascii="宋体" w:hAnsi="宋体"/>
          <w:sz w:val="24"/>
        </w:rPr>
        <w:t>。</w:t>
      </w:r>
      <w:bookmarkEnd w:id="249"/>
    </w:p>
    <w:p w14:paraId="1809E68A" w14:textId="77777777" w:rsidR="008A6127" w:rsidRDefault="00437D9F">
      <w:pPr>
        <w:pStyle w:val="a9"/>
        <w:snapToGrid w:val="0"/>
        <w:ind w:firstLineChars="200" w:firstLine="482"/>
        <w:rPr>
          <w:rFonts w:ascii="宋体" w:hAnsi="宋体"/>
        </w:rPr>
      </w:pPr>
      <w:r>
        <w:rPr>
          <w:rFonts w:ascii="宋体" w:hAnsi="宋体" w:hint="eastAsia"/>
          <w:b/>
        </w:rPr>
        <w:t>（十二）</w:t>
      </w:r>
      <w:r>
        <w:rPr>
          <w:rFonts w:ascii="宋体" w:hAnsi="宋体"/>
          <w:b/>
        </w:rPr>
        <w:t>暂停申购或赎回的公告和重新开放申购或赎回的公告</w:t>
      </w:r>
    </w:p>
    <w:p w14:paraId="4EDE0749"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w:t>
      </w:r>
      <w:r>
        <w:rPr>
          <w:rFonts w:ascii="宋体" w:hAnsi="宋体"/>
          <w:sz w:val="24"/>
        </w:rPr>
        <w:t>发生上述暂停申购或赎回情况的，基金管理人应在规定期限内在规定媒介上刊登暂停公告。</w:t>
      </w:r>
    </w:p>
    <w:p w14:paraId="36CA5C7A"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如发生暂停的时间为1日，基金管理人应于重新开放日，在规定媒介上刊登基金重新开放申购或赎回公告，并公布最近1个开放日的</w:t>
      </w:r>
      <w:r>
        <w:rPr>
          <w:rFonts w:ascii="宋体" w:hAnsi="宋体" w:hint="eastAsia"/>
          <w:sz w:val="24"/>
        </w:rPr>
        <w:t>各类别</w:t>
      </w:r>
      <w:r>
        <w:rPr>
          <w:rFonts w:ascii="宋体" w:hAnsi="宋体"/>
          <w:sz w:val="24"/>
        </w:rPr>
        <w:t>基金份额净值。</w:t>
      </w:r>
    </w:p>
    <w:p w14:paraId="0C4A8FD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3、如发生暂停的时间超过</w:t>
      </w:r>
      <w:r>
        <w:rPr>
          <w:rFonts w:ascii="宋体" w:hAnsi="宋体"/>
          <w:sz w:val="24"/>
        </w:rPr>
        <w:t>1</w:t>
      </w:r>
      <w:r>
        <w:rPr>
          <w:rFonts w:ascii="宋体" w:hAnsi="宋体" w:hint="eastAsia"/>
          <w:sz w:val="24"/>
        </w:rPr>
        <w:t>日，基金管理人可以根据暂停申购或赎回的时间，依照《信息披露办法》的有关规定，最迟于重新开放日在</w:t>
      </w:r>
      <w:r>
        <w:rPr>
          <w:rFonts w:ascii="宋体" w:hAnsi="宋体"/>
          <w:sz w:val="24"/>
        </w:rPr>
        <w:t>规定媒介</w:t>
      </w:r>
      <w:r>
        <w:rPr>
          <w:rFonts w:ascii="宋体" w:hAnsi="宋体" w:hint="eastAsia"/>
          <w:sz w:val="24"/>
        </w:rPr>
        <w:t>上刊登重新开放申购或赎回的公告，并公布最近一个开放日各类别基金份额净值；也可以根据实际情况在暂停公告中明确重新开放申购或赎回的时间，届时不再另行发布重新开放的公告。</w:t>
      </w:r>
    </w:p>
    <w:p w14:paraId="237BC9B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bookmarkStart w:id="250" w:name="_Hlk22285889"/>
      <w:r>
        <w:rPr>
          <w:rFonts w:ascii="宋体" w:hAnsi="宋体" w:hint="eastAsia"/>
          <w:sz w:val="24"/>
        </w:rPr>
        <w:t>基金管理人已于</w:t>
      </w:r>
      <w:r>
        <w:rPr>
          <w:rFonts w:ascii="宋体" w:hAnsi="宋体"/>
          <w:sz w:val="24"/>
        </w:rPr>
        <w:t>2019</w:t>
      </w:r>
      <w:r>
        <w:rPr>
          <w:rFonts w:ascii="宋体" w:hAnsi="宋体" w:hint="eastAsia"/>
          <w:sz w:val="24"/>
        </w:rPr>
        <w:t>年</w:t>
      </w:r>
      <w:r>
        <w:rPr>
          <w:rFonts w:ascii="宋体" w:hAnsi="宋体"/>
          <w:sz w:val="24"/>
        </w:rPr>
        <w:t>9</w:t>
      </w:r>
      <w:r>
        <w:rPr>
          <w:rFonts w:ascii="宋体" w:hAnsi="宋体" w:hint="eastAsia"/>
          <w:sz w:val="24"/>
        </w:rPr>
        <w:t>月2</w:t>
      </w:r>
      <w:r>
        <w:rPr>
          <w:rFonts w:ascii="宋体" w:hAnsi="宋体"/>
          <w:sz w:val="24"/>
        </w:rPr>
        <w:t>3</w:t>
      </w:r>
      <w:r>
        <w:rPr>
          <w:rFonts w:ascii="宋体" w:hAnsi="宋体" w:hint="eastAsia"/>
          <w:sz w:val="24"/>
        </w:rPr>
        <w:t>日起开通本基金的申购和赎回业务，具体内容详见</w:t>
      </w:r>
      <w:r>
        <w:rPr>
          <w:rFonts w:ascii="宋体" w:hAnsi="宋体"/>
          <w:sz w:val="24"/>
        </w:rPr>
        <w:t>2019</w:t>
      </w:r>
      <w:r>
        <w:rPr>
          <w:rFonts w:ascii="宋体" w:hAnsi="宋体" w:hint="eastAsia"/>
          <w:sz w:val="24"/>
        </w:rPr>
        <w:t>年9月1</w:t>
      </w:r>
      <w:r>
        <w:rPr>
          <w:rFonts w:ascii="宋体" w:hAnsi="宋体"/>
          <w:sz w:val="24"/>
        </w:rPr>
        <w:t>7</w:t>
      </w:r>
      <w:r>
        <w:rPr>
          <w:rFonts w:ascii="宋体" w:hAnsi="宋体" w:hint="eastAsia"/>
          <w:sz w:val="24"/>
        </w:rPr>
        <w:t>日发布的《朱雀产业臻选混合型证券投资基金开放日常申购、赎回、定期定额投资业务的公告》和其他有关本基金申购和赎回业务公告。</w:t>
      </w:r>
      <w:bookmarkEnd w:id="250"/>
    </w:p>
    <w:p w14:paraId="5EF689A9" w14:textId="77777777" w:rsidR="008A6127" w:rsidRDefault="00437D9F">
      <w:pPr>
        <w:pStyle w:val="a9"/>
        <w:snapToGrid w:val="0"/>
        <w:ind w:firstLineChars="200" w:firstLine="482"/>
        <w:rPr>
          <w:rFonts w:ascii="宋体" w:hAnsi="宋体"/>
          <w:b/>
        </w:rPr>
      </w:pPr>
      <w:r>
        <w:rPr>
          <w:rFonts w:ascii="宋体" w:hAnsi="宋体" w:hint="eastAsia"/>
          <w:b/>
        </w:rPr>
        <w:t>（十三）</w:t>
      </w:r>
      <w:r>
        <w:rPr>
          <w:rFonts w:ascii="宋体" w:hAnsi="宋体"/>
          <w:b/>
        </w:rPr>
        <w:t>基金转换</w:t>
      </w:r>
    </w:p>
    <w:p w14:paraId="330BEEDD"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基金管理人可以根据相关法律法规以及基金合同的规定决定开办本基金与基金管理人管理的其他基金之间的转换业务，基金转换可以收取一定的转换费，</w:t>
      </w:r>
      <w:r>
        <w:rPr>
          <w:rFonts w:ascii="宋体" w:hAnsi="宋体"/>
          <w:sz w:val="24"/>
        </w:rPr>
        <w:lastRenderedPageBreak/>
        <w:t>相关规则由基金管理人届时根据相关法律法规及基金合同的规定制定并公告，并提前告知基金托管人与相关机构。</w:t>
      </w:r>
    </w:p>
    <w:p w14:paraId="6BD75F4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基金管理人已于</w:t>
      </w:r>
      <w:r>
        <w:rPr>
          <w:rFonts w:ascii="宋体" w:hAnsi="宋体"/>
          <w:sz w:val="24"/>
        </w:rPr>
        <w:t>2020</w:t>
      </w:r>
      <w:r>
        <w:rPr>
          <w:rFonts w:ascii="宋体" w:hAnsi="宋体" w:hint="eastAsia"/>
          <w:sz w:val="24"/>
        </w:rPr>
        <w:t>年</w:t>
      </w:r>
      <w:r>
        <w:rPr>
          <w:rFonts w:ascii="宋体" w:hAnsi="宋体"/>
          <w:sz w:val="24"/>
        </w:rPr>
        <w:t>3</w:t>
      </w:r>
      <w:r>
        <w:rPr>
          <w:rFonts w:ascii="宋体" w:hAnsi="宋体" w:hint="eastAsia"/>
          <w:sz w:val="24"/>
        </w:rPr>
        <w:t>月</w:t>
      </w:r>
      <w:r>
        <w:rPr>
          <w:rFonts w:ascii="宋体" w:hAnsi="宋体"/>
          <w:sz w:val="24"/>
        </w:rPr>
        <w:t>30</w:t>
      </w:r>
      <w:r>
        <w:rPr>
          <w:rFonts w:ascii="宋体" w:hAnsi="宋体" w:hint="eastAsia"/>
          <w:sz w:val="24"/>
        </w:rPr>
        <w:t>日起开通本基金的基金转换业务，具体内容详见</w:t>
      </w:r>
      <w:r>
        <w:rPr>
          <w:rFonts w:ascii="宋体" w:hAnsi="宋体"/>
          <w:sz w:val="24"/>
        </w:rPr>
        <w:t>2020</w:t>
      </w:r>
      <w:r>
        <w:rPr>
          <w:rFonts w:ascii="宋体" w:hAnsi="宋体" w:hint="eastAsia"/>
          <w:sz w:val="24"/>
        </w:rPr>
        <w:t>年</w:t>
      </w:r>
      <w:r>
        <w:rPr>
          <w:rFonts w:ascii="宋体" w:hAnsi="宋体"/>
          <w:sz w:val="24"/>
        </w:rPr>
        <w:t>3</w:t>
      </w:r>
      <w:r>
        <w:rPr>
          <w:rFonts w:ascii="宋体" w:hAnsi="宋体" w:hint="eastAsia"/>
          <w:sz w:val="24"/>
        </w:rPr>
        <w:t>月3</w:t>
      </w:r>
      <w:r>
        <w:rPr>
          <w:rFonts w:ascii="宋体" w:hAnsi="宋体"/>
          <w:sz w:val="24"/>
        </w:rPr>
        <w:t>0</w:t>
      </w:r>
      <w:r>
        <w:rPr>
          <w:rFonts w:ascii="宋体" w:hAnsi="宋体" w:hint="eastAsia"/>
          <w:sz w:val="24"/>
        </w:rPr>
        <w:t>日发布的《朱雀基金管理有限公司关于旗下部分开放式基金开通基金转换业务的公告》和其他有关本</w:t>
      </w:r>
      <w:proofErr w:type="gramStart"/>
      <w:r>
        <w:rPr>
          <w:rFonts w:ascii="宋体" w:hAnsi="宋体" w:hint="eastAsia"/>
          <w:sz w:val="24"/>
        </w:rPr>
        <w:t>基金基金</w:t>
      </w:r>
      <w:proofErr w:type="gramEnd"/>
      <w:r>
        <w:rPr>
          <w:rFonts w:ascii="宋体" w:hAnsi="宋体" w:hint="eastAsia"/>
          <w:sz w:val="24"/>
        </w:rPr>
        <w:t>转换业务公告。</w:t>
      </w:r>
    </w:p>
    <w:p w14:paraId="406F6CE7" w14:textId="77777777" w:rsidR="008A6127" w:rsidRDefault="00437D9F">
      <w:pPr>
        <w:pStyle w:val="a9"/>
        <w:snapToGrid w:val="0"/>
        <w:ind w:firstLineChars="200" w:firstLine="482"/>
        <w:rPr>
          <w:rFonts w:ascii="宋体" w:hAnsi="宋体"/>
          <w:b/>
        </w:rPr>
      </w:pPr>
      <w:r>
        <w:rPr>
          <w:rFonts w:ascii="宋体" w:hAnsi="宋体" w:hint="eastAsia"/>
          <w:b/>
        </w:rPr>
        <w:t>（十四）基金份额的转让</w:t>
      </w:r>
    </w:p>
    <w:p w14:paraId="0DB1BDA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76C55A13" w14:textId="77777777" w:rsidR="008A6127" w:rsidRDefault="00437D9F">
      <w:pPr>
        <w:pStyle w:val="a9"/>
        <w:snapToGrid w:val="0"/>
        <w:ind w:firstLineChars="200" w:firstLine="482"/>
        <w:rPr>
          <w:rFonts w:ascii="宋体" w:hAnsi="宋体"/>
          <w:b/>
        </w:rPr>
      </w:pPr>
      <w:r>
        <w:rPr>
          <w:rFonts w:ascii="宋体" w:hAnsi="宋体" w:hint="eastAsia"/>
          <w:b/>
        </w:rPr>
        <w:t>（十五）</w:t>
      </w:r>
      <w:r>
        <w:rPr>
          <w:rFonts w:ascii="宋体" w:hAnsi="宋体"/>
          <w:b/>
        </w:rPr>
        <w:t>基金的</w:t>
      </w:r>
      <w:proofErr w:type="gramStart"/>
      <w:r>
        <w:rPr>
          <w:rFonts w:ascii="宋体" w:hAnsi="宋体"/>
          <w:b/>
        </w:rPr>
        <w:t>非交易</w:t>
      </w:r>
      <w:proofErr w:type="gramEnd"/>
      <w:r>
        <w:rPr>
          <w:rFonts w:ascii="宋体" w:hAnsi="宋体"/>
          <w:b/>
        </w:rPr>
        <w:t>过户</w:t>
      </w:r>
    </w:p>
    <w:p w14:paraId="0C1D83C4" w14:textId="77777777" w:rsidR="008A6127" w:rsidRDefault="00437D9F">
      <w:pPr>
        <w:snapToGrid w:val="0"/>
        <w:spacing w:line="360" w:lineRule="auto"/>
        <w:ind w:firstLineChars="200" w:firstLine="480"/>
        <w:rPr>
          <w:rFonts w:ascii="宋体" w:hAnsi="宋体"/>
          <w:sz w:val="24"/>
        </w:rPr>
      </w:pPr>
      <w:r>
        <w:rPr>
          <w:rFonts w:ascii="宋体" w:hAnsi="宋体"/>
          <w:sz w:val="24"/>
        </w:rPr>
        <w:t>基金的</w:t>
      </w:r>
      <w:proofErr w:type="gramStart"/>
      <w:r>
        <w:rPr>
          <w:rFonts w:ascii="宋体" w:hAnsi="宋体"/>
          <w:sz w:val="24"/>
        </w:rPr>
        <w:t>非交易</w:t>
      </w:r>
      <w:proofErr w:type="gramEnd"/>
      <w:r>
        <w:rPr>
          <w:rFonts w:ascii="宋体" w:hAnsi="宋体"/>
          <w:sz w:val="24"/>
        </w:rPr>
        <w:t>过户是指基金登记机构受理继承、捐赠和司法强制执行</w:t>
      </w:r>
      <w:r>
        <w:rPr>
          <w:rFonts w:ascii="宋体" w:hAnsi="宋体" w:hint="eastAsia"/>
          <w:sz w:val="24"/>
        </w:rPr>
        <w:t>等情形</w:t>
      </w:r>
      <w:r>
        <w:rPr>
          <w:rFonts w:ascii="宋体" w:hAnsi="宋体"/>
          <w:sz w:val="24"/>
        </w:rPr>
        <w:t>而产生的</w:t>
      </w:r>
      <w:proofErr w:type="gramStart"/>
      <w:r>
        <w:rPr>
          <w:rFonts w:ascii="宋体" w:hAnsi="宋体"/>
          <w:sz w:val="24"/>
        </w:rPr>
        <w:t>非交</w:t>
      </w:r>
      <w:proofErr w:type="gramEnd"/>
      <w:r>
        <w:rPr>
          <w:rFonts w:ascii="宋体" w:hAnsi="宋体"/>
          <w:sz w:val="24"/>
        </w:rPr>
        <w:t>易过户以及登记机构认可、符合法律法规的其它</w:t>
      </w:r>
      <w:proofErr w:type="gramStart"/>
      <w:r>
        <w:rPr>
          <w:rFonts w:ascii="宋体" w:hAnsi="宋体"/>
          <w:sz w:val="24"/>
        </w:rPr>
        <w:t>非交</w:t>
      </w:r>
      <w:proofErr w:type="gramEnd"/>
      <w:r>
        <w:rPr>
          <w:rFonts w:ascii="宋体" w:hAnsi="宋体"/>
          <w:sz w:val="24"/>
        </w:rPr>
        <w:t>易过户。无论在上述何种情况下，接受划转的主体必须是依法可以持有本</w:t>
      </w:r>
      <w:proofErr w:type="gramStart"/>
      <w:r>
        <w:rPr>
          <w:rFonts w:ascii="宋体" w:hAnsi="宋体"/>
          <w:sz w:val="24"/>
        </w:rPr>
        <w:t>基金基金</w:t>
      </w:r>
      <w:proofErr w:type="gramEnd"/>
      <w:r>
        <w:rPr>
          <w:rFonts w:ascii="宋体" w:hAnsi="宋体"/>
          <w:sz w:val="24"/>
        </w:rPr>
        <w:t>份额的投资人。</w:t>
      </w:r>
    </w:p>
    <w:p w14:paraId="6354A93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继承是指基金份额持有人死亡，其持有的基金份额由其合法的继承人继承；</w:t>
      </w:r>
      <w:proofErr w:type="gramStart"/>
      <w:r>
        <w:rPr>
          <w:rFonts w:ascii="宋体" w:hAnsi="宋体" w:hint="eastAsia"/>
          <w:sz w:val="24"/>
        </w:rPr>
        <w:t>捐赠指</w:t>
      </w:r>
      <w:proofErr w:type="gramEnd"/>
      <w:r>
        <w:rPr>
          <w:rFonts w:ascii="宋体" w:hAnsi="宋体" w:hint="eastAsia"/>
          <w:sz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宋体" w:hAnsi="宋体" w:hint="eastAsia"/>
          <w:sz w:val="24"/>
        </w:rPr>
        <w:t>非交易</w:t>
      </w:r>
      <w:proofErr w:type="gramEnd"/>
      <w:r>
        <w:rPr>
          <w:rFonts w:ascii="宋体" w:hAnsi="宋体" w:hint="eastAsia"/>
          <w:sz w:val="24"/>
        </w:rPr>
        <w:t>过户必须提供基金登记机构要求提供的相关资料，对于符合条件的</w:t>
      </w:r>
      <w:proofErr w:type="gramStart"/>
      <w:r>
        <w:rPr>
          <w:rFonts w:ascii="宋体" w:hAnsi="宋体" w:hint="eastAsia"/>
          <w:sz w:val="24"/>
        </w:rPr>
        <w:t>非交易过户申请</w:t>
      </w:r>
      <w:proofErr w:type="gramEnd"/>
      <w:r>
        <w:rPr>
          <w:rFonts w:ascii="宋体" w:hAnsi="宋体" w:hint="eastAsia"/>
          <w:sz w:val="24"/>
        </w:rPr>
        <w:t>按基金登记机构的规定办理，并按基金登记机构规定的标准收费。</w:t>
      </w:r>
    </w:p>
    <w:p w14:paraId="41ED0AA9" w14:textId="77777777" w:rsidR="008A6127" w:rsidRDefault="00437D9F">
      <w:pPr>
        <w:pStyle w:val="a9"/>
        <w:snapToGrid w:val="0"/>
        <w:ind w:firstLineChars="200" w:firstLine="482"/>
        <w:rPr>
          <w:rFonts w:ascii="宋体" w:hAnsi="宋体"/>
          <w:b/>
        </w:rPr>
      </w:pPr>
      <w:r>
        <w:rPr>
          <w:rFonts w:ascii="宋体" w:hAnsi="宋体" w:hint="eastAsia"/>
          <w:b/>
        </w:rPr>
        <w:t>（十六）</w:t>
      </w:r>
      <w:r>
        <w:rPr>
          <w:rFonts w:ascii="宋体" w:hAnsi="宋体"/>
          <w:b/>
        </w:rPr>
        <w:t>基金的转托管</w:t>
      </w:r>
    </w:p>
    <w:p w14:paraId="3DBEC126" w14:textId="77777777" w:rsidR="008A6127" w:rsidRDefault="00437D9F">
      <w:pPr>
        <w:snapToGrid w:val="0"/>
        <w:spacing w:line="360" w:lineRule="auto"/>
        <w:ind w:firstLineChars="200" w:firstLine="480"/>
        <w:rPr>
          <w:rFonts w:ascii="宋体" w:hAnsi="宋体"/>
          <w:sz w:val="24"/>
        </w:rPr>
      </w:pPr>
      <w:r>
        <w:rPr>
          <w:rFonts w:ascii="宋体" w:hAnsi="宋体"/>
          <w:sz w:val="24"/>
        </w:rPr>
        <w:t>基金份额持有人可办理已持有基金份额在不同销售机构之间的转托管，基金销售机构可以按照规定的标准收取转托管费。</w:t>
      </w:r>
    </w:p>
    <w:p w14:paraId="5A049AC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如果出现基金管理人、登记机构、办理转托管的销售机构因技术系统性能限制或其它合理原因，可以暂停该业务或者拒绝基金份额持有人的转托管申请。</w:t>
      </w:r>
    </w:p>
    <w:p w14:paraId="7DB2CB89" w14:textId="77777777" w:rsidR="008A6127" w:rsidRDefault="00437D9F">
      <w:pPr>
        <w:pStyle w:val="a9"/>
        <w:snapToGrid w:val="0"/>
        <w:ind w:firstLineChars="200" w:firstLine="482"/>
        <w:rPr>
          <w:rFonts w:ascii="宋体" w:hAnsi="宋体"/>
          <w:b/>
        </w:rPr>
      </w:pPr>
      <w:r>
        <w:rPr>
          <w:rFonts w:ascii="宋体" w:hAnsi="宋体" w:hint="eastAsia"/>
          <w:b/>
        </w:rPr>
        <w:t>（十七）</w:t>
      </w:r>
      <w:r>
        <w:rPr>
          <w:rFonts w:ascii="宋体" w:hAnsi="宋体"/>
          <w:b/>
        </w:rPr>
        <w:t>定期定额投资计划</w:t>
      </w:r>
    </w:p>
    <w:p w14:paraId="4F3741A7"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w:t>
      </w:r>
      <w:r>
        <w:rPr>
          <w:rFonts w:ascii="宋体" w:hAnsi="宋体"/>
          <w:sz w:val="24"/>
        </w:rPr>
        <w:lastRenderedPageBreak/>
        <w:t>额投资计划最低申购金额。</w:t>
      </w:r>
    </w:p>
    <w:p w14:paraId="15DE795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基金管理人已于</w:t>
      </w:r>
      <w:r>
        <w:rPr>
          <w:rFonts w:ascii="宋体" w:hAnsi="宋体"/>
          <w:sz w:val="24"/>
        </w:rPr>
        <w:t>2019</w:t>
      </w:r>
      <w:r>
        <w:rPr>
          <w:rFonts w:ascii="宋体" w:hAnsi="宋体" w:hint="eastAsia"/>
          <w:sz w:val="24"/>
        </w:rPr>
        <w:t>年</w:t>
      </w:r>
      <w:r>
        <w:rPr>
          <w:rFonts w:ascii="宋体" w:hAnsi="宋体"/>
          <w:sz w:val="24"/>
        </w:rPr>
        <w:t>9</w:t>
      </w:r>
      <w:r>
        <w:rPr>
          <w:rFonts w:ascii="宋体" w:hAnsi="宋体" w:hint="eastAsia"/>
          <w:sz w:val="24"/>
        </w:rPr>
        <w:t>月2</w:t>
      </w:r>
      <w:r>
        <w:rPr>
          <w:rFonts w:ascii="宋体" w:hAnsi="宋体"/>
          <w:sz w:val="24"/>
        </w:rPr>
        <w:t>3</w:t>
      </w:r>
      <w:r>
        <w:rPr>
          <w:rFonts w:ascii="宋体" w:hAnsi="宋体" w:hint="eastAsia"/>
          <w:sz w:val="24"/>
        </w:rPr>
        <w:t>日起开通本基金</w:t>
      </w:r>
      <w:proofErr w:type="gramStart"/>
      <w:r>
        <w:rPr>
          <w:rFonts w:ascii="宋体" w:hAnsi="宋体" w:hint="eastAsia"/>
          <w:sz w:val="24"/>
        </w:rPr>
        <w:t>的定投业务</w:t>
      </w:r>
      <w:proofErr w:type="gramEnd"/>
      <w:r>
        <w:rPr>
          <w:rFonts w:ascii="宋体" w:hAnsi="宋体" w:hint="eastAsia"/>
          <w:sz w:val="24"/>
        </w:rPr>
        <w:t>，具体内容详见</w:t>
      </w:r>
      <w:r>
        <w:rPr>
          <w:rFonts w:ascii="宋体" w:hAnsi="宋体"/>
          <w:sz w:val="24"/>
        </w:rPr>
        <w:t>2019</w:t>
      </w:r>
      <w:r>
        <w:rPr>
          <w:rFonts w:ascii="宋体" w:hAnsi="宋体" w:hint="eastAsia"/>
          <w:sz w:val="24"/>
        </w:rPr>
        <w:t>年9月1</w:t>
      </w:r>
      <w:r>
        <w:rPr>
          <w:rFonts w:ascii="宋体" w:hAnsi="宋体"/>
          <w:sz w:val="24"/>
        </w:rPr>
        <w:t>7</w:t>
      </w:r>
      <w:r>
        <w:rPr>
          <w:rFonts w:ascii="宋体" w:hAnsi="宋体" w:hint="eastAsia"/>
          <w:sz w:val="24"/>
        </w:rPr>
        <w:t>日发布的《朱雀产业臻选混合型证券投资基金开放日常申购、赎回、定期定额投资业务的公告》和其他有关本基金</w:t>
      </w:r>
      <w:proofErr w:type="gramStart"/>
      <w:r>
        <w:rPr>
          <w:rFonts w:ascii="宋体" w:hAnsi="宋体" w:hint="eastAsia"/>
          <w:sz w:val="24"/>
        </w:rPr>
        <w:t>定投业</w:t>
      </w:r>
      <w:proofErr w:type="gramEnd"/>
      <w:r>
        <w:rPr>
          <w:rFonts w:ascii="宋体" w:hAnsi="宋体" w:hint="eastAsia"/>
          <w:sz w:val="24"/>
        </w:rPr>
        <w:t>务公告。</w:t>
      </w:r>
    </w:p>
    <w:p w14:paraId="12E0BD25" w14:textId="77777777" w:rsidR="008A6127" w:rsidRDefault="00437D9F">
      <w:pPr>
        <w:pStyle w:val="a9"/>
        <w:snapToGrid w:val="0"/>
        <w:ind w:firstLineChars="200" w:firstLine="482"/>
        <w:rPr>
          <w:rFonts w:ascii="宋体" w:hAnsi="宋体"/>
          <w:b/>
        </w:rPr>
      </w:pPr>
      <w:r>
        <w:rPr>
          <w:rFonts w:ascii="宋体" w:hAnsi="宋体" w:hint="eastAsia"/>
          <w:b/>
        </w:rPr>
        <w:t>（十八）</w:t>
      </w:r>
      <w:r>
        <w:rPr>
          <w:rFonts w:ascii="宋体" w:hAnsi="宋体"/>
          <w:b/>
        </w:rPr>
        <w:t>基金的冻结和解冻</w:t>
      </w:r>
    </w:p>
    <w:p w14:paraId="52C4E811" w14:textId="77777777" w:rsidR="008A6127" w:rsidRDefault="00437D9F">
      <w:pPr>
        <w:snapToGrid w:val="0"/>
        <w:spacing w:line="360" w:lineRule="auto"/>
        <w:ind w:firstLineChars="200" w:firstLine="480"/>
        <w:rPr>
          <w:rFonts w:ascii="宋体" w:hAnsi="宋体"/>
          <w:sz w:val="24"/>
        </w:rPr>
      </w:pPr>
      <w:r>
        <w:rPr>
          <w:rFonts w:ascii="宋体" w:hAnsi="宋体"/>
          <w:sz w:val="24"/>
        </w:rPr>
        <w:t>基金登记机构只受理国家有权机关依法要求的基金份额的冻结与解冻，以及登记机构认可、符合法律法规的其他情况下的冻结与解冻。</w:t>
      </w:r>
    </w:p>
    <w:p w14:paraId="6707B3C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基金份额被冻结的，被冻结部分产生的权益一并冻结，被冻结部分份额仍然参与收益分配与支付。法律法规另有规定或有权机关另有要求的除外。</w:t>
      </w:r>
    </w:p>
    <w:p w14:paraId="2D88F72B" w14:textId="77777777" w:rsidR="008A6127" w:rsidRDefault="00437D9F">
      <w:pPr>
        <w:pStyle w:val="a9"/>
        <w:snapToGrid w:val="0"/>
        <w:ind w:firstLineChars="200" w:firstLine="482"/>
        <w:rPr>
          <w:rFonts w:ascii="宋体" w:hAnsi="宋体"/>
          <w:b/>
        </w:rPr>
      </w:pPr>
      <w:r>
        <w:rPr>
          <w:rFonts w:ascii="宋体" w:hAnsi="宋体" w:hint="eastAsia"/>
          <w:b/>
        </w:rPr>
        <w:t>（十九）其他业务</w:t>
      </w:r>
    </w:p>
    <w:p w14:paraId="7A7EFB9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相关法律法规允许基金管理人办理基金份额的质押业务或其他基金业务，且对基金份额持有人利益无实质性不利影响的条件下，基金管理人可制定相应的业务规则并开展相关业务，并依照《信息披露办法》的有关规定进行公告。证券交易所和中国证券登记结算有限责任公司的相关业务规则另有规定的，从其规定。</w:t>
      </w:r>
    </w:p>
    <w:p w14:paraId="7486E14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二十）在不违反相关法律法规且对基金份额持有人利益无实质不利影响的前提下，基金管理人可以依据具体情况对上述申购和赎回以及相关业务的安排进行补充和调整并提前公告，无需召开基金份额持有人大会审议。</w:t>
      </w:r>
    </w:p>
    <w:p w14:paraId="757DC373"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rPr>
        <w:br w:type="page"/>
      </w:r>
      <w:bookmarkStart w:id="251" w:name="_Toc421532547"/>
      <w:bookmarkStart w:id="252" w:name="_Toc6406"/>
      <w:bookmarkStart w:id="253" w:name="_Toc17762"/>
      <w:bookmarkStart w:id="254" w:name="_Toc24519"/>
      <w:bookmarkStart w:id="255" w:name="_Toc31452"/>
      <w:bookmarkStart w:id="256" w:name="_Toc3221"/>
      <w:bookmarkStart w:id="257" w:name="_Toc204678788"/>
      <w:bookmarkStart w:id="258" w:name="_Toc360794104"/>
      <w:bookmarkStart w:id="259" w:name="_Toc362533459"/>
      <w:bookmarkStart w:id="260" w:name="_Toc360794412"/>
      <w:bookmarkStart w:id="261" w:name="_Toc360794520"/>
      <w:bookmarkStart w:id="262" w:name="_Toc360793502"/>
      <w:bookmarkStart w:id="263" w:name="_Toc405455127"/>
      <w:bookmarkStart w:id="264" w:name="_Toc360793854"/>
      <w:bookmarkStart w:id="265" w:name="_Toc362455187"/>
      <w:r>
        <w:rPr>
          <w:rFonts w:ascii="Cambria" w:hAnsi="Cambria" w:hint="eastAsia"/>
          <w:sz w:val="32"/>
          <w:szCs w:val="32"/>
        </w:rPr>
        <w:lastRenderedPageBreak/>
        <w:t>基金的投资</w:t>
      </w:r>
      <w:bookmarkEnd w:id="251"/>
      <w:bookmarkEnd w:id="252"/>
      <w:bookmarkEnd w:id="253"/>
      <w:bookmarkEnd w:id="254"/>
      <w:bookmarkEnd w:id="255"/>
      <w:bookmarkEnd w:id="256"/>
      <w:bookmarkEnd w:id="257"/>
    </w:p>
    <w:p w14:paraId="74BFFE72"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（一）</w:t>
      </w:r>
      <w:r>
        <w:rPr>
          <w:rFonts w:ascii="宋体" w:hAnsi="宋体"/>
          <w:b/>
          <w:bCs/>
          <w:sz w:val="24"/>
        </w:rPr>
        <w:t>投资目标</w:t>
      </w:r>
    </w:p>
    <w:p w14:paraId="04915C5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在严格控制风险的前提下，追求超越业绩比较基准的投资回报，力争实现基金资产的长期稳健增值。</w:t>
      </w:r>
    </w:p>
    <w:p w14:paraId="57914CDA"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（二）</w:t>
      </w:r>
      <w:r>
        <w:rPr>
          <w:rFonts w:ascii="宋体" w:hAnsi="宋体"/>
          <w:b/>
          <w:bCs/>
          <w:sz w:val="24"/>
        </w:rPr>
        <w:t>投资范围</w:t>
      </w:r>
    </w:p>
    <w:p w14:paraId="7C3E24B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本基金的投资范围为具有良好流动性的金融工具，包括国内依法发行上市的股票（含中小板、创业板及其他经中国证监会核准上市的股票</w:t>
      </w:r>
      <w:r>
        <w:rPr>
          <w:rFonts w:ascii="宋体" w:hAnsi="宋体" w:hint="eastAsia"/>
          <w:bCs/>
          <w:sz w:val="24"/>
        </w:rPr>
        <w:t>、存托凭证</w:t>
      </w:r>
      <w:r>
        <w:rPr>
          <w:rFonts w:ascii="宋体" w:hAnsi="宋体" w:hint="eastAsia"/>
          <w:sz w:val="24"/>
        </w:rPr>
        <w:t>）、港股通标的股票、债券（包括国债、央行票据、金融债券、企业债券、公司债券、中期票据、短期融资</w:t>
      </w:r>
      <w:proofErr w:type="gramStart"/>
      <w:r>
        <w:rPr>
          <w:rFonts w:ascii="宋体" w:hAnsi="宋体" w:hint="eastAsia"/>
          <w:sz w:val="24"/>
        </w:rPr>
        <w:t>券</w:t>
      </w:r>
      <w:proofErr w:type="gramEnd"/>
      <w:r>
        <w:rPr>
          <w:rFonts w:ascii="宋体" w:hAnsi="宋体" w:hint="eastAsia"/>
          <w:sz w:val="24"/>
        </w:rPr>
        <w:t>、超短期融资券、公开发行的次级债券、政府机构债券、地方政府债券、可交换债券、可转换债券（含分离交易可转债</w:t>
      </w:r>
      <w:proofErr w:type="gramStart"/>
      <w:r>
        <w:rPr>
          <w:rFonts w:ascii="宋体" w:hAnsi="宋体" w:hint="eastAsia"/>
          <w:sz w:val="24"/>
        </w:rPr>
        <w:t>的纯债部</w:t>
      </w:r>
      <w:proofErr w:type="gramEnd"/>
      <w:r>
        <w:rPr>
          <w:rFonts w:ascii="宋体" w:hAnsi="宋体" w:hint="eastAsia"/>
          <w:sz w:val="24"/>
        </w:rPr>
        <w:t>分）及其他经中国证监会允许投资的债券）、债券回购、同业存单、银行存款（包括协议存款、定期存款及其他银行存款）、货币市场工具、股指期货以及法律法规或中国证监会允许基金投资的其他金融工具（但须符合中国证监会相关规定）。</w:t>
      </w:r>
    </w:p>
    <w:p w14:paraId="7713019A" w14:textId="77777777" w:rsidR="008A6127" w:rsidRDefault="00437D9F">
      <w:pPr>
        <w:snapToGrid w:val="0"/>
        <w:spacing w:line="360" w:lineRule="auto"/>
        <w:ind w:firstLineChars="200" w:firstLine="480"/>
        <w:rPr>
          <w:rFonts w:ascii="宋体" w:hAnsi="宋体"/>
          <w:sz w:val="24"/>
        </w:rPr>
      </w:pPr>
      <w:r>
        <w:rPr>
          <w:rFonts w:ascii="宋体" w:hAnsi="宋体"/>
          <w:sz w:val="24"/>
        </w:rPr>
        <w:t>如法律法规或监管机构以后允许基金投资其他品种，基金管理人在履行适当程序后，可以将其纳入投资范围。</w:t>
      </w:r>
    </w:p>
    <w:p w14:paraId="2F3166A9" w14:textId="77777777" w:rsidR="008A6127" w:rsidRDefault="00437D9F">
      <w:pPr>
        <w:snapToGrid w:val="0"/>
        <w:spacing w:line="360" w:lineRule="auto"/>
        <w:ind w:firstLineChars="200" w:firstLine="480"/>
        <w:rPr>
          <w:rFonts w:ascii="宋体" w:hAnsi="宋体"/>
          <w:sz w:val="24"/>
        </w:rPr>
      </w:pPr>
      <w:r>
        <w:rPr>
          <w:rFonts w:ascii="宋体" w:hAnsi="宋体"/>
          <w:sz w:val="24"/>
        </w:rPr>
        <w:t>基金的投资组合比例为：</w:t>
      </w:r>
      <w:r>
        <w:rPr>
          <w:rFonts w:ascii="宋体" w:hAnsi="宋体" w:hint="eastAsia"/>
          <w:sz w:val="24"/>
        </w:rPr>
        <w:t>本基金投资于股票</w:t>
      </w:r>
      <w:r>
        <w:rPr>
          <w:rFonts w:ascii="宋体" w:hAnsi="宋体" w:hint="eastAsia"/>
          <w:bCs/>
          <w:sz w:val="24"/>
        </w:rPr>
        <w:t>（</w:t>
      </w:r>
      <w:proofErr w:type="gramStart"/>
      <w:r>
        <w:rPr>
          <w:rFonts w:ascii="宋体" w:hAnsi="宋体" w:hint="eastAsia"/>
          <w:bCs/>
          <w:sz w:val="24"/>
        </w:rPr>
        <w:t>含存托</w:t>
      </w:r>
      <w:proofErr w:type="gramEnd"/>
      <w:r>
        <w:rPr>
          <w:rFonts w:ascii="宋体" w:hAnsi="宋体" w:hint="eastAsia"/>
          <w:bCs/>
          <w:sz w:val="24"/>
        </w:rPr>
        <w:t>凭证资产，下同）</w:t>
      </w:r>
      <w:r>
        <w:rPr>
          <w:rFonts w:ascii="宋体" w:hAnsi="宋体" w:hint="eastAsia"/>
          <w:sz w:val="24"/>
        </w:rPr>
        <w:t>占基金资产的比例为50%-95%，其中投资于港股通标的股票的比例不超过股票资产的50%；每个交易日日终在扣除股指期货合约需缴纳的交易保证金以后，基金保留的现金或投资于到期日在一年以内的政府债券的比例合计不低于基金资产净值的5%，其中现金不包括结算备付金、存出保证金、应收申购款等。</w:t>
      </w:r>
    </w:p>
    <w:p w14:paraId="153C22A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如法律法规或中国证监会变更投资品种的投资比例限制，基金管理人在履行适当程序后，可以调整上述投资品种的投资比例。</w:t>
      </w:r>
    </w:p>
    <w:p w14:paraId="3F0A68E3"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（三）</w:t>
      </w:r>
      <w:r>
        <w:rPr>
          <w:rFonts w:ascii="宋体" w:hAnsi="宋体"/>
          <w:b/>
          <w:bCs/>
          <w:sz w:val="24"/>
        </w:rPr>
        <w:t>投资策略</w:t>
      </w:r>
    </w:p>
    <w:p w14:paraId="0D66AED9" w14:textId="77777777" w:rsidR="008A6127" w:rsidRDefault="00437D9F">
      <w:pPr>
        <w:snapToGrid w:val="0"/>
        <w:spacing w:line="360" w:lineRule="auto"/>
        <w:ind w:firstLineChars="200" w:firstLine="480"/>
        <w:rPr>
          <w:rFonts w:ascii="宋体" w:hAnsi="宋体"/>
          <w:sz w:val="24"/>
        </w:rPr>
      </w:pPr>
      <w:bookmarkStart w:id="266" w:name="_Hlk1143841"/>
      <w:r>
        <w:rPr>
          <w:rFonts w:ascii="宋体" w:hAnsi="宋体" w:hint="eastAsia"/>
          <w:sz w:val="24"/>
        </w:rPr>
        <w:t>1、大类资产配置策略</w:t>
      </w:r>
    </w:p>
    <w:p w14:paraId="374E814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对宏观经济政策及证券市场整体走势进行前瞻性研究，同时紧密跟踪资金流向、市场流动性、交易特征和投资者情绪等因素，兼顾宏观经济增长的长期趋势和短期经济周期的波动，在对证券市场当期的系统性风险及各类资产的预期风险收益进行充分分析的基础上，合理调整股票资产、债券资产和其他金融工具的投资权重，在保持总体风险水平相对稳定的基础上，力争实现基金资产的长</w:t>
      </w:r>
      <w:r>
        <w:rPr>
          <w:rFonts w:ascii="宋体" w:hAnsi="宋体" w:hint="eastAsia"/>
          <w:sz w:val="24"/>
        </w:rPr>
        <w:lastRenderedPageBreak/>
        <w:t>期稳健增值。此外，本基金将持续地进行定期与不定期的资产配置风险控制</w:t>
      </w:r>
      <w:r>
        <w:rPr>
          <w:rFonts w:ascii="宋体" w:hAnsi="宋体"/>
          <w:sz w:val="24"/>
        </w:rPr>
        <w:t>，</w:t>
      </w:r>
      <w:r>
        <w:rPr>
          <w:rFonts w:ascii="宋体" w:hAnsi="宋体" w:hint="eastAsia"/>
          <w:sz w:val="24"/>
        </w:rPr>
        <w:t>适时地</w:t>
      </w:r>
      <w:r>
        <w:rPr>
          <w:rFonts w:ascii="宋体" w:hAnsi="宋体"/>
          <w:sz w:val="24"/>
        </w:rPr>
        <w:t>做出相应调整。</w:t>
      </w:r>
    </w:p>
    <w:p w14:paraId="59C1DDA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2、股票投资策略</w:t>
      </w:r>
    </w:p>
    <w:p w14:paraId="7D61223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本基金坚持</w:t>
      </w:r>
      <w:bookmarkStart w:id="267" w:name="_Hlk535481523"/>
      <w:r>
        <w:rPr>
          <w:rFonts w:ascii="宋体" w:hAnsi="宋体" w:hint="eastAsia"/>
          <w:sz w:val="24"/>
        </w:rPr>
        <w:t>自上而下与自下而上相结合的</w:t>
      </w:r>
      <w:bookmarkEnd w:id="267"/>
      <w:r>
        <w:rPr>
          <w:rFonts w:ascii="宋体" w:hAnsi="宋体" w:hint="eastAsia"/>
          <w:sz w:val="24"/>
        </w:rPr>
        <w:t>投资理念，在宏观策略研究基础上，把握结构性调整机会，将行业分析与个股精选相结合，寻找具有投资潜力的细分行业和个股。</w:t>
      </w:r>
    </w:p>
    <w:p w14:paraId="126B5E72" w14:textId="77777777" w:rsidR="008A6127" w:rsidRDefault="00437D9F">
      <w:pPr>
        <w:snapToGrid w:val="0"/>
        <w:spacing w:line="360" w:lineRule="auto"/>
        <w:ind w:firstLineChars="200" w:firstLine="480"/>
        <w:rPr>
          <w:rFonts w:ascii="宋体" w:hAnsi="宋体"/>
          <w:sz w:val="24"/>
        </w:rPr>
      </w:pPr>
      <w:r>
        <w:rPr>
          <w:rFonts w:ascii="宋体" w:hAnsi="宋体"/>
          <w:sz w:val="24"/>
        </w:rPr>
        <w:t>（1）自上而下的行业遴选</w:t>
      </w:r>
    </w:p>
    <w:p w14:paraId="3C12FEA0" w14:textId="77777777" w:rsidR="008A6127" w:rsidRDefault="00437D9F">
      <w:pPr>
        <w:snapToGrid w:val="0"/>
        <w:spacing w:line="360" w:lineRule="auto"/>
        <w:ind w:firstLineChars="200" w:firstLine="480"/>
        <w:rPr>
          <w:rFonts w:ascii="宋体" w:hAnsi="宋体"/>
          <w:sz w:val="24"/>
        </w:rPr>
      </w:pPr>
      <w:r>
        <w:rPr>
          <w:rFonts w:ascii="宋体" w:hAnsi="宋体"/>
          <w:sz w:val="24"/>
        </w:rPr>
        <w:t>本基金将自上而下地进行行业遴选，重点关注行业增长前景、</w:t>
      </w:r>
      <w:bookmarkStart w:id="268" w:name="_Hlk2764228"/>
      <w:r>
        <w:rPr>
          <w:rFonts w:ascii="宋体" w:hAnsi="宋体" w:hint="eastAsia"/>
          <w:sz w:val="24"/>
        </w:rPr>
        <w:t>行业盈利</w:t>
      </w:r>
      <w:bookmarkEnd w:id="268"/>
      <w:r>
        <w:rPr>
          <w:rFonts w:ascii="宋体" w:hAnsi="宋体"/>
          <w:sz w:val="24"/>
        </w:rPr>
        <w:t>前景和</w:t>
      </w:r>
      <w:r>
        <w:rPr>
          <w:rFonts w:ascii="宋体" w:hAnsi="宋体" w:hint="eastAsia"/>
          <w:sz w:val="24"/>
        </w:rPr>
        <w:t>产业</w:t>
      </w:r>
      <w:r>
        <w:rPr>
          <w:rFonts w:ascii="宋体" w:hAnsi="宋体"/>
          <w:sz w:val="24"/>
        </w:rPr>
        <w:t>政策要素。对行业增长前景，主要分析行业的外部发展环境、行业的生命周期以及行业波动与经济周期的关系等；对</w:t>
      </w:r>
      <w:r>
        <w:rPr>
          <w:rFonts w:ascii="宋体" w:hAnsi="宋体" w:hint="eastAsia"/>
          <w:sz w:val="24"/>
        </w:rPr>
        <w:t>行业盈利</w:t>
      </w:r>
      <w:r>
        <w:rPr>
          <w:rFonts w:ascii="宋体" w:hAnsi="宋体"/>
          <w:sz w:val="24"/>
        </w:rPr>
        <w:t>前景，主要分析行业结构，特别是业内竞争的方式、业内竞争的激烈程度、以及业内厂商的谈判能力等</w:t>
      </w:r>
      <w:r>
        <w:rPr>
          <w:rFonts w:ascii="宋体" w:hAnsi="宋体" w:hint="eastAsia"/>
          <w:sz w:val="24"/>
        </w:rPr>
        <w:t>；</w:t>
      </w:r>
      <w:r>
        <w:rPr>
          <w:rFonts w:ascii="宋体" w:hAnsi="宋体"/>
          <w:sz w:val="24"/>
        </w:rPr>
        <w:t>对于产业</w:t>
      </w:r>
      <w:r>
        <w:rPr>
          <w:rFonts w:ascii="宋体" w:hAnsi="宋体" w:hint="eastAsia"/>
          <w:sz w:val="24"/>
        </w:rPr>
        <w:t>政策要素</w:t>
      </w:r>
      <w:r>
        <w:rPr>
          <w:rFonts w:ascii="宋体" w:hAnsi="宋体"/>
          <w:sz w:val="24"/>
        </w:rPr>
        <w:t>，主要</w:t>
      </w:r>
      <w:r>
        <w:rPr>
          <w:rFonts w:ascii="宋体" w:hAnsi="宋体" w:hint="eastAsia"/>
          <w:sz w:val="24"/>
        </w:rPr>
        <w:t>分析国家</w:t>
      </w:r>
      <w:r>
        <w:rPr>
          <w:rFonts w:ascii="宋体" w:hAnsi="宋体"/>
          <w:sz w:val="24"/>
        </w:rPr>
        <w:t>产业</w:t>
      </w:r>
      <w:r>
        <w:rPr>
          <w:rFonts w:ascii="宋体" w:hAnsi="宋体" w:hint="eastAsia"/>
          <w:sz w:val="24"/>
        </w:rPr>
        <w:t>发展方向、政策</w:t>
      </w:r>
      <w:r>
        <w:rPr>
          <w:rFonts w:ascii="宋体" w:hAnsi="宋体"/>
          <w:sz w:val="24"/>
        </w:rPr>
        <w:t>扶持力度</w:t>
      </w:r>
      <w:r>
        <w:rPr>
          <w:rFonts w:ascii="宋体" w:hAnsi="宋体" w:hint="eastAsia"/>
          <w:sz w:val="24"/>
        </w:rPr>
        <w:t>等</w:t>
      </w:r>
      <w:r>
        <w:rPr>
          <w:rFonts w:ascii="宋体" w:hAnsi="宋体"/>
          <w:sz w:val="24"/>
        </w:rPr>
        <w:t>因素</w:t>
      </w:r>
      <w:r>
        <w:rPr>
          <w:rFonts w:ascii="宋体" w:hAnsi="宋体" w:hint="eastAsia"/>
          <w:sz w:val="24"/>
        </w:rPr>
        <w:t>，选择符合高标准市场经济要求的行业</w:t>
      </w:r>
      <w:r>
        <w:rPr>
          <w:rFonts w:ascii="宋体" w:hAnsi="宋体"/>
          <w:sz w:val="24"/>
        </w:rPr>
        <w:t>。</w:t>
      </w:r>
    </w:p>
    <w:p w14:paraId="3FBF1758" w14:textId="77777777" w:rsidR="008A6127" w:rsidRDefault="00437D9F">
      <w:pPr>
        <w:snapToGrid w:val="0"/>
        <w:spacing w:line="360" w:lineRule="auto"/>
        <w:ind w:firstLineChars="200" w:firstLine="480"/>
        <w:rPr>
          <w:rFonts w:ascii="宋体" w:hAnsi="宋体"/>
          <w:sz w:val="24"/>
        </w:rPr>
      </w:pPr>
      <w:r>
        <w:rPr>
          <w:rFonts w:ascii="宋体" w:hAnsi="宋体"/>
          <w:sz w:val="24"/>
        </w:rPr>
        <w:t>（2）自下而上的个股选择</w:t>
      </w:r>
    </w:p>
    <w:p w14:paraId="20EF4EEE" w14:textId="77777777" w:rsidR="008A6127" w:rsidRDefault="00437D9F">
      <w:pPr>
        <w:snapToGrid w:val="0"/>
        <w:spacing w:line="360" w:lineRule="auto"/>
        <w:ind w:firstLineChars="200" w:firstLine="480"/>
        <w:rPr>
          <w:rFonts w:ascii="宋体" w:hAnsi="宋体"/>
          <w:sz w:val="24"/>
        </w:rPr>
      </w:pPr>
      <w:r>
        <w:rPr>
          <w:rFonts w:ascii="宋体" w:hAnsi="宋体"/>
          <w:sz w:val="24"/>
        </w:rPr>
        <w:t>本基金主要从两方面进行自下而上的个股选择：一方面是竞争力分析，通过对公司竞争策略和核心竞争力的分析，选择具有可持续竞争优势的上市公司或未来具有广阔成长空间的公司。就公司竞争策略，基于行业分析的结果判断策略的有效性、策略的实施支持和策略的执行成果；</w:t>
      </w:r>
      <w:proofErr w:type="gramStart"/>
      <w:r>
        <w:rPr>
          <w:rFonts w:ascii="宋体" w:hAnsi="宋体"/>
          <w:sz w:val="24"/>
        </w:rPr>
        <w:t>就核心</w:t>
      </w:r>
      <w:proofErr w:type="gramEnd"/>
      <w:r>
        <w:rPr>
          <w:rFonts w:ascii="宋体" w:hAnsi="宋体"/>
          <w:sz w:val="24"/>
        </w:rPr>
        <w:t>竞争力，分析公司的现有核心竞争力，并判断公司能否利用现有的资源、能力和定位取得</w:t>
      </w:r>
      <w:r>
        <w:rPr>
          <w:rFonts w:ascii="宋体" w:hAnsi="宋体" w:hint="eastAsia"/>
          <w:sz w:val="24"/>
        </w:rPr>
        <w:t>国际竞争力或者在国内市场具备难以复制的优势</w:t>
      </w:r>
      <w:r>
        <w:rPr>
          <w:rFonts w:ascii="宋体" w:hAnsi="宋体"/>
          <w:sz w:val="24"/>
        </w:rPr>
        <w:t>。另一方面是管理层分析，</w:t>
      </w:r>
      <w:r>
        <w:rPr>
          <w:rFonts w:ascii="宋体" w:hAnsi="宋体" w:hint="eastAsia"/>
          <w:sz w:val="24"/>
        </w:rPr>
        <w:t>通过</w:t>
      </w:r>
      <w:r>
        <w:rPr>
          <w:rFonts w:ascii="宋体" w:hAnsi="宋体"/>
          <w:sz w:val="24"/>
        </w:rPr>
        <w:t>对公司管理层</w:t>
      </w:r>
      <w:r>
        <w:rPr>
          <w:rFonts w:ascii="宋体" w:hAnsi="宋体" w:hint="eastAsia"/>
          <w:sz w:val="24"/>
        </w:rPr>
        <w:t>及公司治理</w:t>
      </w:r>
      <w:r>
        <w:rPr>
          <w:rFonts w:ascii="宋体" w:hAnsi="宋体"/>
          <w:sz w:val="24"/>
        </w:rPr>
        <w:t>结构的分析</w:t>
      </w:r>
      <w:r>
        <w:rPr>
          <w:rFonts w:ascii="宋体" w:hAnsi="宋体" w:hint="eastAsia"/>
          <w:sz w:val="24"/>
        </w:rPr>
        <w:t>选择治理</w:t>
      </w:r>
      <w:r>
        <w:rPr>
          <w:rFonts w:ascii="宋体" w:hAnsi="宋体"/>
          <w:sz w:val="24"/>
        </w:rPr>
        <w:t>结构完善、管理层</w:t>
      </w:r>
      <w:r>
        <w:rPr>
          <w:rFonts w:ascii="宋体" w:hAnsi="宋体" w:hint="eastAsia"/>
          <w:sz w:val="24"/>
        </w:rPr>
        <w:t>勤勉</w:t>
      </w:r>
      <w:r>
        <w:rPr>
          <w:rFonts w:ascii="宋体" w:hAnsi="宋体"/>
          <w:sz w:val="24"/>
        </w:rPr>
        <w:t>尽职的上市公司。</w:t>
      </w:r>
    </w:p>
    <w:p w14:paraId="17B3D0A3" w14:textId="77777777" w:rsidR="008A6127" w:rsidRDefault="00437D9F">
      <w:pPr>
        <w:snapToGrid w:val="0"/>
        <w:spacing w:line="360" w:lineRule="auto"/>
        <w:ind w:firstLineChars="200" w:firstLine="480"/>
        <w:rPr>
          <w:rFonts w:ascii="宋体" w:hAnsi="宋体"/>
          <w:sz w:val="24"/>
        </w:rPr>
      </w:pPr>
      <w:r>
        <w:rPr>
          <w:rFonts w:ascii="宋体" w:hAnsi="宋体"/>
          <w:sz w:val="24"/>
        </w:rPr>
        <w:t>（3）综合</w:t>
      </w:r>
      <w:proofErr w:type="gramStart"/>
      <w:r>
        <w:rPr>
          <w:rFonts w:ascii="宋体" w:hAnsi="宋体"/>
          <w:sz w:val="24"/>
        </w:rPr>
        <w:t>研</w:t>
      </w:r>
      <w:proofErr w:type="gramEnd"/>
      <w:r>
        <w:rPr>
          <w:rFonts w:ascii="宋体" w:hAnsi="宋体"/>
          <w:sz w:val="24"/>
        </w:rPr>
        <w:t>判</w:t>
      </w:r>
    </w:p>
    <w:p w14:paraId="6857BE53" w14:textId="77777777" w:rsidR="008A6127" w:rsidRDefault="00437D9F">
      <w:pPr>
        <w:snapToGrid w:val="0"/>
        <w:spacing w:line="360" w:lineRule="auto"/>
        <w:ind w:firstLineChars="200" w:firstLine="480"/>
        <w:rPr>
          <w:rFonts w:ascii="宋体" w:hAnsi="宋体"/>
          <w:sz w:val="24"/>
        </w:rPr>
      </w:pPr>
      <w:r>
        <w:rPr>
          <w:rFonts w:ascii="宋体" w:hAnsi="宋体"/>
          <w:sz w:val="24"/>
        </w:rPr>
        <w:t>本基金在自上而下和自下而上的基础上，结合估值分析，</w:t>
      </w:r>
      <w:proofErr w:type="gramStart"/>
      <w:r>
        <w:rPr>
          <w:rFonts w:ascii="宋体" w:hAnsi="宋体"/>
          <w:sz w:val="24"/>
        </w:rPr>
        <w:t>严选安全</w:t>
      </w:r>
      <w:proofErr w:type="gramEnd"/>
      <w:r>
        <w:rPr>
          <w:rFonts w:ascii="宋体" w:hAnsi="宋体"/>
          <w:sz w:val="24"/>
        </w:rPr>
        <w:t>边际较高的个股，力争实现组合的保值增值。</w:t>
      </w:r>
      <w:r>
        <w:rPr>
          <w:rFonts w:ascii="宋体" w:hAnsi="宋体" w:hint="eastAsia"/>
          <w:sz w:val="24"/>
        </w:rPr>
        <w:t>通过对绝对估值、相对估值方法的选择和综合</w:t>
      </w:r>
      <w:proofErr w:type="gramStart"/>
      <w:r>
        <w:rPr>
          <w:rFonts w:ascii="宋体" w:hAnsi="宋体" w:hint="eastAsia"/>
          <w:sz w:val="24"/>
        </w:rPr>
        <w:t>研</w:t>
      </w:r>
      <w:proofErr w:type="gramEnd"/>
      <w:r>
        <w:rPr>
          <w:rFonts w:ascii="宋体" w:hAnsi="宋体" w:hint="eastAsia"/>
          <w:sz w:val="24"/>
        </w:rPr>
        <w:t>判，选择股价相对低估的股票。就相对估值方法而言，基于行业的特点确定对股价最有影响力的关键估值方法（包括PE、PEG、PB、PS、EV/EBITDA等）；就估值倍数而言，通过业内比较、历史比较和增长性分析，确定具有上升基础的股价水平。就绝对估值方法而言，基于行业和公司商业模式的特点，确定关键估值方法，包括股息贴现模型（DDM）、现金流贴现模型（DCF模型）、股权自由现金流贴现模型（FCFE模型）、公司自由现金流贴现模型（FCFF模型）等。</w:t>
      </w:r>
    </w:p>
    <w:p w14:paraId="092D707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（4）港股通</w:t>
      </w:r>
      <w:r>
        <w:rPr>
          <w:rFonts w:ascii="宋体" w:hAnsi="宋体"/>
          <w:sz w:val="24"/>
        </w:rPr>
        <w:t>标的股票投资策略</w:t>
      </w:r>
    </w:p>
    <w:p w14:paraId="2F3F3CF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本基金可通过内地与香港股票市场交易互联互通机制投资于香港股票市场。本基金将遵循上述股票投资策略，优先将基本面健康、业绩向上弹性较大、具有估值优势的港股纳入本基金的股票投资组合。</w:t>
      </w:r>
    </w:p>
    <w:p w14:paraId="2811FBF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3、债券投资策略</w:t>
      </w:r>
    </w:p>
    <w:p w14:paraId="54FBE35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固定收益资产投资的目的是在保证基金资产流动性的基础上，有效利用基金资产，提高基金资产的投资收益。基金管理人将基于对国内外宏观经济形势的深入分析、国内财政政策与货币市场政策等因素对固定收益资产的影响，进行合理的利率预期，判断市场的基本走势，</w:t>
      </w:r>
      <w:proofErr w:type="gramStart"/>
      <w:r>
        <w:rPr>
          <w:rFonts w:ascii="宋体" w:hAnsi="宋体" w:hint="eastAsia"/>
          <w:sz w:val="24"/>
        </w:rPr>
        <w:t>制定久期控制</w:t>
      </w:r>
      <w:proofErr w:type="gramEnd"/>
      <w:r>
        <w:rPr>
          <w:rFonts w:ascii="宋体" w:hAnsi="宋体" w:hint="eastAsia"/>
          <w:sz w:val="24"/>
        </w:rPr>
        <w:t>下的资产类属配置策略。在固定收益资产投资组合构建和管理过程中，本基金管理人将具体采用期限结构配置、市场转换、信用利差和相对价值判断、信用风险评估、现金管理等管理手段进行个</w:t>
      </w:r>
      <w:proofErr w:type="gramStart"/>
      <w:r>
        <w:rPr>
          <w:rFonts w:ascii="宋体" w:hAnsi="宋体" w:hint="eastAsia"/>
          <w:sz w:val="24"/>
        </w:rPr>
        <w:t>券</w:t>
      </w:r>
      <w:proofErr w:type="gramEnd"/>
      <w:r>
        <w:rPr>
          <w:rFonts w:ascii="宋体" w:hAnsi="宋体" w:hint="eastAsia"/>
          <w:sz w:val="24"/>
        </w:rPr>
        <w:t>选择。</w:t>
      </w:r>
    </w:p>
    <w:p w14:paraId="5E4E15D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4、可转换债券和可交换债券投资策略</w:t>
      </w:r>
    </w:p>
    <w:p w14:paraId="74A8B5A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可转换债券和可交换债券同时具有债券与权益类证券的双重特性。</w:t>
      </w:r>
      <w:r>
        <w:rPr>
          <w:rFonts w:ascii="宋体" w:hAnsi="宋体"/>
          <w:sz w:val="24"/>
        </w:rPr>
        <w:t>本基金利用宏观经济变化和上市公司的盈利变化，判断市场的变化趋势，选择不同的行业，再根据可转换债券</w:t>
      </w:r>
      <w:r>
        <w:rPr>
          <w:rFonts w:ascii="宋体" w:hAnsi="宋体" w:hint="eastAsia"/>
          <w:sz w:val="24"/>
        </w:rPr>
        <w:t>和可交换债券</w:t>
      </w:r>
      <w:r>
        <w:rPr>
          <w:rFonts w:ascii="宋体" w:hAnsi="宋体"/>
          <w:sz w:val="24"/>
        </w:rPr>
        <w:t>的特性选择各行业不同的券种。本基金利用可转换债券</w:t>
      </w:r>
      <w:r>
        <w:rPr>
          <w:rFonts w:ascii="宋体" w:hAnsi="宋体" w:hint="eastAsia"/>
          <w:sz w:val="24"/>
        </w:rPr>
        <w:t>及</w:t>
      </w:r>
      <w:r>
        <w:rPr>
          <w:rFonts w:ascii="宋体" w:hAnsi="宋体"/>
          <w:sz w:val="24"/>
        </w:rPr>
        <w:t>可交换债</w:t>
      </w:r>
      <w:r>
        <w:rPr>
          <w:rFonts w:ascii="宋体" w:hAnsi="宋体" w:hint="eastAsia"/>
          <w:sz w:val="24"/>
        </w:rPr>
        <w:t>券</w:t>
      </w:r>
      <w:r>
        <w:rPr>
          <w:rFonts w:ascii="宋体" w:hAnsi="宋体"/>
          <w:sz w:val="24"/>
        </w:rPr>
        <w:t>的债券底价和到期收益率来判断</w:t>
      </w:r>
      <w:proofErr w:type="gramStart"/>
      <w:r>
        <w:rPr>
          <w:rFonts w:ascii="宋体" w:hAnsi="宋体" w:hint="eastAsia"/>
          <w:sz w:val="24"/>
        </w:rPr>
        <w:t>其</w:t>
      </w:r>
      <w:r>
        <w:rPr>
          <w:rFonts w:ascii="宋体" w:hAnsi="宋体"/>
          <w:sz w:val="24"/>
        </w:rPr>
        <w:t>债性</w:t>
      </w:r>
      <w:proofErr w:type="gramEnd"/>
      <w:r>
        <w:rPr>
          <w:rFonts w:ascii="宋体" w:hAnsi="宋体"/>
          <w:sz w:val="24"/>
        </w:rPr>
        <w:t>，增强本金投资的相对安全性；利用可转换债券</w:t>
      </w:r>
      <w:r>
        <w:rPr>
          <w:rFonts w:ascii="宋体" w:hAnsi="宋体" w:hint="eastAsia"/>
          <w:sz w:val="24"/>
        </w:rPr>
        <w:t>及</w:t>
      </w:r>
      <w:r>
        <w:rPr>
          <w:rFonts w:ascii="宋体" w:hAnsi="宋体"/>
          <w:sz w:val="24"/>
        </w:rPr>
        <w:t>可交换债</w:t>
      </w:r>
      <w:r>
        <w:rPr>
          <w:rFonts w:ascii="宋体" w:hAnsi="宋体" w:hint="eastAsia"/>
          <w:sz w:val="24"/>
        </w:rPr>
        <w:t>券的</w:t>
      </w:r>
      <w:r>
        <w:rPr>
          <w:rFonts w:ascii="宋体" w:hAnsi="宋体"/>
          <w:sz w:val="24"/>
        </w:rPr>
        <w:t>溢价率来判断</w:t>
      </w:r>
      <w:r>
        <w:rPr>
          <w:rFonts w:ascii="宋体" w:hAnsi="宋体" w:hint="eastAsia"/>
          <w:sz w:val="24"/>
        </w:rPr>
        <w:t>其</w:t>
      </w:r>
      <w:r>
        <w:rPr>
          <w:rFonts w:ascii="宋体" w:hAnsi="宋体"/>
          <w:sz w:val="24"/>
        </w:rPr>
        <w:t>股性，在市场出现投资机会时，优先</w:t>
      </w:r>
      <w:proofErr w:type="gramStart"/>
      <w:r>
        <w:rPr>
          <w:rFonts w:ascii="宋体" w:hAnsi="宋体"/>
          <w:sz w:val="24"/>
        </w:rPr>
        <w:t>选择股</w:t>
      </w:r>
      <w:proofErr w:type="gramEnd"/>
      <w:r>
        <w:rPr>
          <w:rFonts w:ascii="宋体" w:hAnsi="宋体"/>
          <w:sz w:val="24"/>
        </w:rPr>
        <w:t>性强的品种，获取超额收益。</w:t>
      </w:r>
    </w:p>
    <w:p w14:paraId="074D3AE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5、股指期货投资策略</w:t>
      </w:r>
    </w:p>
    <w:p w14:paraId="38DA9B1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本基金将根据风险管理的原则，以套期保值为目的，在风险可控的前提下，本着谨慎原则，参与股指期货的投资，以管理投资组合的系统性风险，改善组合的风险收益特性。</w:t>
      </w:r>
      <w:bookmarkEnd w:id="266"/>
    </w:p>
    <w:p w14:paraId="357CD15E" w14:textId="77777777" w:rsidR="008A6127" w:rsidRDefault="00437D9F">
      <w:pPr>
        <w:spacing w:line="360" w:lineRule="auto"/>
        <w:ind w:firstLineChars="200" w:firstLine="480"/>
        <w:rPr>
          <w:rFonts w:ascii="宋体" w:hAnsi="宋体"/>
          <w:bCs/>
          <w:sz w:val="24"/>
        </w:rPr>
      </w:pPr>
      <w:r>
        <w:rPr>
          <w:rFonts w:ascii="宋体" w:hAnsi="宋体" w:hint="eastAsia"/>
          <w:bCs/>
          <w:sz w:val="24"/>
        </w:rPr>
        <w:t>6、存托凭证投资策略</w:t>
      </w:r>
    </w:p>
    <w:p w14:paraId="1078E156" w14:textId="77777777" w:rsidR="008A6127" w:rsidRDefault="00437D9F">
      <w:pPr>
        <w:spacing w:line="360" w:lineRule="auto"/>
        <w:ind w:firstLineChars="200" w:firstLine="480"/>
        <w:rPr>
          <w:rFonts w:ascii="宋体" w:hAnsi="宋体"/>
          <w:bCs/>
          <w:sz w:val="24"/>
        </w:rPr>
      </w:pPr>
      <w:r>
        <w:rPr>
          <w:rFonts w:ascii="宋体" w:hAnsi="宋体" w:hint="eastAsia"/>
          <w:bCs/>
          <w:sz w:val="24"/>
        </w:rPr>
        <w:t>本基金投资存托凭证的策略依照上述境内上市交易的股票投资策略执行。</w:t>
      </w:r>
    </w:p>
    <w:p w14:paraId="08696016" w14:textId="77777777" w:rsidR="008A6127" w:rsidRDefault="00437D9F">
      <w:pPr>
        <w:pStyle w:val="33"/>
        <w:snapToGrid w:val="0"/>
        <w:spacing w:line="360" w:lineRule="auto"/>
        <w:ind w:firstLineChars="200" w:firstLine="482"/>
        <w:rPr>
          <w:rFonts w:hAnsi="宋体"/>
          <w:b/>
          <w:bCs/>
          <w:kern w:val="2"/>
          <w:sz w:val="24"/>
          <w:szCs w:val="24"/>
        </w:rPr>
      </w:pPr>
      <w:r>
        <w:rPr>
          <w:rFonts w:hAnsi="宋体" w:hint="eastAsia"/>
          <w:b/>
          <w:bCs/>
          <w:kern w:val="2"/>
          <w:sz w:val="24"/>
          <w:szCs w:val="24"/>
        </w:rPr>
        <w:t>（四）</w:t>
      </w:r>
      <w:r>
        <w:rPr>
          <w:rFonts w:hAnsi="宋体"/>
          <w:b/>
          <w:bCs/>
          <w:kern w:val="2"/>
          <w:sz w:val="24"/>
          <w:szCs w:val="24"/>
        </w:rPr>
        <w:t>投资限制</w:t>
      </w:r>
    </w:p>
    <w:p w14:paraId="4D97D62D" w14:textId="77777777" w:rsidR="008A6127" w:rsidRDefault="00437D9F">
      <w:pPr>
        <w:snapToGrid w:val="0"/>
        <w:spacing w:line="360" w:lineRule="auto"/>
        <w:ind w:firstLineChars="200" w:firstLine="480"/>
        <w:rPr>
          <w:rFonts w:ascii="宋体" w:hAnsi="宋体"/>
          <w:sz w:val="24"/>
        </w:rPr>
      </w:pPr>
      <w:bookmarkStart w:id="269" w:name="_Hlk1121478"/>
      <w:r>
        <w:rPr>
          <w:rFonts w:ascii="宋体" w:hAnsi="宋体"/>
          <w:sz w:val="24"/>
        </w:rPr>
        <w:t>1、组合限制</w:t>
      </w:r>
    </w:p>
    <w:p w14:paraId="5500604D" w14:textId="77777777" w:rsidR="008A6127" w:rsidRDefault="00437D9F">
      <w:pPr>
        <w:snapToGrid w:val="0"/>
        <w:spacing w:line="360" w:lineRule="auto"/>
        <w:ind w:firstLineChars="200" w:firstLine="480"/>
        <w:rPr>
          <w:rFonts w:ascii="宋体" w:hAnsi="宋体"/>
          <w:sz w:val="24"/>
        </w:rPr>
      </w:pPr>
      <w:r>
        <w:rPr>
          <w:rFonts w:ascii="宋体" w:hAnsi="宋体"/>
          <w:sz w:val="24"/>
        </w:rPr>
        <w:t>基金的投资组合应遵循以下限制：</w:t>
      </w:r>
      <w:bookmarkStart w:id="270" w:name="_Hlk535323639"/>
      <w:bookmarkEnd w:id="270"/>
    </w:p>
    <w:p w14:paraId="0A7B4FA7" w14:textId="77777777" w:rsidR="008A6127" w:rsidRDefault="00437D9F">
      <w:pPr>
        <w:snapToGrid w:val="0"/>
        <w:spacing w:line="360" w:lineRule="auto"/>
        <w:ind w:firstLineChars="200" w:firstLine="480"/>
        <w:rPr>
          <w:rFonts w:ascii="宋体" w:hAnsi="宋体"/>
          <w:sz w:val="24"/>
        </w:rPr>
      </w:pPr>
      <w:bookmarkStart w:id="271" w:name="_Hlk535323616"/>
      <w:r>
        <w:rPr>
          <w:rFonts w:ascii="宋体" w:hAnsi="宋体" w:hint="eastAsia"/>
          <w:sz w:val="24"/>
        </w:rPr>
        <w:t>（</w:t>
      </w:r>
      <w:r>
        <w:rPr>
          <w:rFonts w:ascii="宋体" w:hAnsi="宋体"/>
          <w:sz w:val="24"/>
        </w:rPr>
        <w:t>1</w:t>
      </w:r>
      <w:r>
        <w:rPr>
          <w:rFonts w:ascii="宋体" w:hAnsi="宋体" w:hint="eastAsia"/>
          <w:sz w:val="24"/>
        </w:rPr>
        <w:t>）本基金投资于股票占基金资产的比例为50%-95%；其中投资于港股通标的股票的比例不超过股票资产的50%；</w:t>
      </w:r>
    </w:p>
    <w:p w14:paraId="37AB7FCD"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w:t>
      </w:r>
      <w:r>
        <w:rPr>
          <w:rFonts w:ascii="宋体" w:hAnsi="宋体" w:hint="eastAsia"/>
          <w:sz w:val="24"/>
        </w:rPr>
        <w:t>2</w:t>
      </w:r>
      <w:r>
        <w:rPr>
          <w:rFonts w:ascii="宋体" w:hAnsi="宋体"/>
          <w:sz w:val="24"/>
        </w:rPr>
        <w:t>）</w:t>
      </w:r>
      <w:r>
        <w:rPr>
          <w:rFonts w:ascii="宋体" w:hAnsi="宋体" w:hint="eastAsia"/>
          <w:sz w:val="24"/>
        </w:rPr>
        <w:t>本基金每个交易日日终在扣除股指期货合约需缴纳的交易保证金后，应当</w:t>
      </w:r>
      <w:r>
        <w:rPr>
          <w:rFonts w:ascii="宋体" w:hAnsi="宋体"/>
          <w:sz w:val="24"/>
        </w:rPr>
        <w:t>保持不低于基金资产净值5％的现金或者到期日在一年以内的政府债券</w:t>
      </w:r>
      <w:r>
        <w:rPr>
          <w:rFonts w:ascii="宋体" w:hAnsi="宋体" w:hint="eastAsia"/>
          <w:sz w:val="24"/>
        </w:rPr>
        <w:t>，本基金所指的</w:t>
      </w:r>
      <w:r>
        <w:rPr>
          <w:rFonts w:ascii="宋体" w:hAnsi="宋体"/>
          <w:sz w:val="24"/>
        </w:rPr>
        <w:t>现金不包括结算备付金、存出保证金</w:t>
      </w:r>
      <w:r>
        <w:rPr>
          <w:rFonts w:ascii="宋体" w:hAnsi="宋体" w:hint="eastAsia"/>
          <w:sz w:val="24"/>
        </w:rPr>
        <w:t>、</w:t>
      </w:r>
      <w:r>
        <w:rPr>
          <w:rFonts w:ascii="宋体" w:hAnsi="宋体"/>
          <w:sz w:val="24"/>
        </w:rPr>
        <w:t>应收申购款等；</w:t>
      </w:r>
    </w:p>
    <w:p w14:paraId="4952B5E9"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3</w:t>
      </w:r>
      <w:r>
        <w:rPr>
          <w:rFonts w:ascii="宋体" w:hAnsi="宋体"/>
          <w:sz w:val="24"/>
        </w:rPr>
        <w:t>）本基金持有一家公司</w:t>
      </w:r>
      <w:r>
        <w:rPr>
          <w:rFonts w:ascii="宋体" w:hAnsi="宋体" w:hint="eastAsia"/>
          <w:sz w:val="24"/>
        </w:rPr>
        <w:t>发行</w:t>
      </w:r>
      <w:r>
        <w:rPr>
          <w:rFonts w:ascii="宋体" w:hAnsi="宋体"/>
          <w:sz w:val="24"/>
        </w:rPr>
        <w:t>的</w:t>
      </w:r>
      <w:r>
        <w:rPr>
          <w:rFonts w:ascii="宋体" w:hAnsi="宋体" w:hint="eastAsia"/>
          <w:sz w:val="24"/>
        </w:rPr>
        <w:t>证券（同一家公司在内地和香港同时上市的A</w:t>
      </w:r>
      <w:r>
        <w:rPr>
          <w:rFonts w:ascii="宋体" w:hAnsi="宋体"/>
          <w:sz w:val="24"/>
        </w:rPr>
        <w:t>+H</w:t>
      </w:r>
      <w:r>
        <w:rPr>
          <w:rFonts w:ascii="宋体" w:hAnsi="宋体" w:hint="eastAsia"/>
          <w:sz w:val="24"/>
        </w:rPr>
        <w:t>股合计计算）</w:t>
      </w:r>
      <w:r>
        <w:rPr>
          <w:rFonts w:ascii="宋体" w:hAnsi="宋体"/>
          <w:sz w:val="24"/>
        </w:rPr>
        <w:t>，其市值不超过基金资产净值的10％；</w:t>
      </w:r>
    </w:p>
    <w:p w14:paraId="05198EB4"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4</w:t>
      </w:r>
      <w:r>
        <w:rPr>
          <w:rFonts w:ascii="宋体" w:hAnsi="宋体"/>
          <w:sz w:val="24"/>
        </w:rPr>
        <w:t>）本基金管理人管理的全部基金持有一家公司发行的证券</w:t>
      </w:r>
      <w:r>
        <w:rPr>
          <w:rFonts w:ascii="宋体" w:hAnsi="宋体" w:hint="eastAsia"/>
          <w:sz w:val="24"/>
        </w:rPr>
        <w:t>（同一家公司在内地和香港同时上市的A</w:t>
      </w:r>
      <w:r>
        <w:rPr>
          <w:rFonts w:ascii="宋体" w:hAnsi="宋体"/>
          <w:sz w:val="24"/>
        </w:rPr>
        <w:t>+H</w:t>
      </w:r>
      <w:r>
        <w:rPr>
          <w:rFonts w:ascii="宋体" w:hAnsi="宋体" w:hint="eastAsia"/>
          <w:sz w:val="24"/>
        </w:rPr>
        <w:t>股合计计算）</w:t>
      </w:r>
      <w:r>
        <w:rPr>
          <w:rFonts w:ascii="宋体" w:hAnsi="宋体"/>
          <w:sz w:val="24"/>
        </w:rPr>
        <w:t>，不超过该证券的10％；</w:t>
      </w:r>
    </w:p>
    <w:p w14:paraId="408447D0"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5</w:t>
      </w:r>
      <w:r>
        <w:rPr>
          <w:rFonts w:ascii="宋体" w:hAnsi="宋体"/>
          <w:sz w:val="24"/>
        </w:rPr>
        <w:t>）基金财产参与股票发行申购，本基金所申报的金额不超过本基金的总资产，本基金所申报的股票数量不超过拟发行股票公司本次发行股票的总量；</w:t>
      </w:r>
    </w:p>
    <w:p w14:paraId="2DC3C7C9"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6</w:t>
      </w:r>
      <w:r>
        <w:rPr>
          <w:rFonts w:ascii="宋体" w:hAnsi="宋体"/>
          <w:sz w:val="24"/>
        </w:rPr>
        <w:t>）本基金进入全国银行间同业市场进行债券回购的资金余额不得超过基金资产净值的40%</w:t>
      </w:r>
      <w:r>
        <w:rPr>
          <w:rFonts w:ascii="宋体" w:hAnsi="宋体" w:hint="eastAsia"/>
          <w:sz w:val="24"/>
        </w:rPr>
        <w:t>，本基金在全国银行间同业市场中的债券回购最长期限为1年，债券回购到期后不得展期</w:t>
      </w:r>
      <w:r>
        <w:rPr>
          <w:rFonts w:ascii="宋体" w:hAnsi="宋体"/>
          <w:sz w:val="24"/>
        </w:rPr>
        <w:t>；</w:t>
      </w:r>
    </w:p>
    <w:p w14:paraId="4AD43FF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7</w:t>
      </w:r>
      <w:r>
        <w:rPr>
          <w:rFonts w:ascii="宋体" w:hAnsi="宋体" w:hint="eastAsia"/>
          <w:sz w:val="24"/>
        </w:rPr>
        <w:t>）本基金参与股指期货交易，应当遵循下列要求：</w:t>
      </w:r>
    </w:p>
    <w:p w14:paraId="4BA6A75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14:paraId="536DBE4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本基金在任何交易日日终，持有的买入股指期货合约价值，不得超过基金资产净值的10%；在任何交易日日终，持有的卖出股指期货合约价值不得超过基金持有的股票总市值的20%；本基金在任何交易日内交易（不包括平仓）的股指期货合约的成交金额不得超过上一交易日基金资产净值的20%；本基金所持有的股票市值和买入、卖出股指期货合约价值，合计（轧差计算）应当符合《基金合同》关于股票投资比例的有关约定；</w:t>
      </w:r>
    </w:p>
    <w:p w14:paraId="342A245B"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8</w:t>
      </w:r>
      <w:r>
        <w:rPr>
          <w:rFonts w:ascii="宋体" w:hAnsi="宋体"/>
          <w:sz w:val="24"/>
        </w:rPr>
        <w:t>）本基金</w:t>
      </w:r>
      <w:r>
        <w:rPr>
          <w:rFonts w:ascii="宋体" w:hAnsi="宋体" w:hint="eastAsia"/>
          <w:sz w:val="24"/>
        </w:rPr>
        <w:t>管理人管理的全部开放式基金（包括开放式基金以及处于开放期的定期开放基金）持有一家上市公司发行的可流通股票，不得超过该上市公司可流通股票的15%</w:t>
      </w:r>
      <w:r>
        <w:rPr>
          <w:rFonts w:ascii="宋体" w:hAnsi="宋体"/>
          <w:sz w:val="24"/>
        </w:rPr>
        <w:t>；</w:t>
      </w:r>
      <w:r>
        <w:rPr>
          <w:rFonts w:ascii="宋体" w:hAnsi="宋体" w:hint="eastAsia"/>
          <w:sz w:val="24"/>
        </w:rPr>
        <w:t xml:space="preserve">本基金管理人管理的全部投资组合持有一家上市公司发行的可流通股票，不得超过该上市公司可流通股票的30%； </w:t>
      </w:r>
    </w:p>
    <w:p w14:paraId="4FC17A1E"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9</w:t>
      </w:r>
      <w:r>
        <w:rPr>
          <w:rFonts w:ascii="宋体" w:hAnsi="宋体"/>
          <w:sz w:val="24"/>
        </w:rPr>
        <w:t>）本基金主动投资流动性受限资产的市值合计不得超过</w:t>
      </w:r>
      <w:r>
        <w:rPr>
          <w:rFonts w:ascii="宋体" w:hAnsi="宋体" w:hint="eastAsia"/>
          <w:sz w:val="24"/>
        </w:rPr>
        <w:t>本</w:t>
      </w:r>
      <w:proofErr w:type="gramStart"/>
      <w:r>
        <w:rPr>
          <w:rFonts w:ascii="宋体" w:hAnsi="宋体" w:hint="eastAsia"/>
          <w:sz w:val="24"/>
        </w:rPr>
        <w:t>基金</w:t>
      </w:r>
      <w:r>
        <w:rPr>
          <w:rFonts w:ascii="宋体" w:hAnsi="宋体"/>
          <w:sz w:val="24"/>
        </w:rPr>
        <w:t>基金</w:t>
      </w:r>
      <w:proofErr w:type="gramEnd"/>
      <w:r>
        <w:rPr>
          <w:rFonts w:ascii="宋体" w:hAnsi="宋体"/>
          <w:sz w:val="24"/>
        </w:rPr>
        <w:t>资产净值的15%；因证券市场波动、上市公司股票停牌、基金规模变动等基金管理人之外的因素致使基金</w:t>
      </w:r>
      <w:r>
        <w:rPr>
          <w:rFonts w:ascii="宋体" w:hAnsi="宋体" w:hint="eastAsia"/>
          <w:sz w:val="24"/>
        </w:rPr>
        <w:t>投资比例不符合上述投资</w:t>
      </w:r>
      <w:r>
        <w:rPr>
          <w:rFonts w:ascii="宋体" w:hAnsi="宋体"/>
          <w:sz w:val="24"/>
        </w:rPr>
        <w:t>比例限制的，基金管理人不得主动</w:t>
      </w:r>
      <w:r>
        <w:rPr>
          <w:rFonts w:ascii="宋体" w:hAnsi="宋体"/>
          <w:sz w:val="24"/>
        </w:rPr>
        <w:lastRenderedPageBreak/>
        <w:t>新增流动性受限资产的投资；</w:t>
      </w:r>
    </w:p>
    <w:p w14:paraId="4C76C08B"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10</w:t>
      </w:r>
      <w:r>
        <w:rPr>
          <w:rFonts w:ascii="宋体" w:hAnsi="宋体"/>
          <w:sz w:val="24"/>
        </w:rPr>
        <w:t>）本基金与私募类</w:t>
      </w:r>
      <w:proofErr w:type="gramStart"/>
      <w:r>
        <w:rPr>
          <w:rFonts w:ascii="宋体" w:hAnsi="宋体"/>
          <w:sz w:val="24"/>
        </w:rPr>
        <w:t>证券资管产品</w:t>
      </w:r>
      <w:proofErr w:type="gramEnd"/>
      <w:r>
        <w:rPr>
          <w:rFonts w:ascii="宋体" w:hAnsi="宋体"/>
          <w:sz w:val="24"/>
        </w:rPr>
        <w:t>及中国证监会认定的其他主体为交易对手</w:t>
      </w:r>
      <w:r>
        <w:rPr>
          <w:rFonts w:ascii="宋体" w:hAnsi="宋体" w:hint="eastAsia"/>
          <w:sz w:val="24"/>
        </w:rPr>
        <w:t>方</w:t>
      </w:r>
      <w:r>
        <w:rPr>
          <w:rFonts w:ascii="宋体" w:hAnsi="宋体"/>
          <w:sz w:val="24"/>
        </w:rPr>
        <w:t>开展逆回购交易的，可接受质押品的资质要求应当与基金合同约定的投资范围保持一致；</w:t>
      </w:r>
    </w:p>
    <w:p w14:paraId="02C560B4"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11</w:t>
      </w:r>
      <w:r>
        <w:rPr>
          <w:rFonts w:ascii="宋体" w:hAnsi="宋体"/>
          <w:sz w:val="24"/>
        </w:rPr>
        <w:t>）本基金</w:t>
      </w:r>
      <w:r>
        <w:rPr>
          <w:rFonts w:ascii="宋体" w:hAnsi="宋体" w:hint="eastAsia"/>
          <w:sz w:val="24"/>
        </w:rPr>
        <w:t>资产总值</w:t>
      </w:r>
      <w:r>
        <w:rPr>
          <w:rFonts w:ascii="宋体" w:hAnsi="宋体"/>
          <w:sz w:val="24"/>
        </w:rPr>
        <w:t>不超过基金资产净值的140%；</w:t>
      </w:r>
    </w:p>
    <w:p w14:paraId="691B8273" w14:textId="77777777" w:rsidR="008A6127" w:rsidRDefault="00437D9F">
      <w:pPr>
        <w:spacing w:line="360" w:lineRule="auto"/>
        <w:ind w:firstLineChars="200" w:firstLine="480"/>
        <w:rPr>
          <w:rFonts w:ascii="宋体" w:hAnsi="宋体"/>
          <w:bCs/>
          <w:sz w:val="24"/>
        </w:rPr>
      </w:pPr>
      <w:r>
        <w:rPr>
          <w:rFonts w:ascii="宋体" w:hAnsi="宋体" w:hint="eastAsia"/>
          <w:bCs/>
          <w:sz w:val="24"/>
        </w:rPr>
        <w:t>（12）本基金投资存托凭证的比例限制依照境内上市交易的股票执行，与境内上市交易的股票合并计算；</w:t>
      </w:r>
    </w:p>
    <w:p w14:paraId="5F68644C"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13</w:t>
      </w:r>
      <w:r>
        <w:rPr>
          <w:rFonts w:ascii="宋体" w:hAnsi="宋体"/>
          <w:sz w:val="24"/>
        </w:rPr>
        <w:t>）</w:t>
      </w:r>
      <w:r>
        <w:rPr>
          <w:rFonts w:ascii="宋体" w:hAnsi="宋体" w:hint="eastAsia"/>
          <w:sz w:val="24"/>
        </w:rPr>
        <w:t>法律法规及中国证监会规定的和《基金合同》约定的其他投资限制。</w:t>
      </w:r>
      <w:bookmarkEnd w:id="271"/>
    </w:p>
    <w:p w14:paraId="42DCA561" w14:textId="77777777" w:rsidR="008A6127" w:rsidRDefault="00437D9F">
      <w:pPr>
        <w:snapToGrid w:val="0"/>
        <w:spacing w:line="360" w:lineRule="auto"/>
        <w:ind w:firstLineChars="200" w:firstLine="480"/>
        <w:rPr>
          <w:rFonts w:ascii="宋体" w:hAnsi="宋体"/>
          <w:sz w:val="24"/>
        </w:rPr>
      </w:pPr>
      <w:r>
        <w:rPr>
          <w:rFonts w:ascii="宋体" w:hAnsi="宋体"/>
          <w:sz w:val="24"/>
        </w:rPr>
        <w:t>除上述（2）、（9）、（</w:t>
      </w:r>
      <w:r>
        <w:rPr>
          <w:rFonts w:ascii="宋体" w:hAnsi="宋体" w:hint="eastAsia"/>
          <w:sz w:val="24"/>
        </w:rPr>
        <w:t>1</w:t>
      </w:r>
      <w:r>
        <w:rPr>
          <w:rFonts w:ascii="宋体" w:hAnsi="宋体"/>
          <w:sz w:val="24"/>
        </w:rPr>
        <w:t>0）情形之外，因证券</w:t>
      </w:r>
      <w:r>
        <w:rPr>
          <w:rFonts w:ascii="宋体" w:hAnsi="宋体" w:hint="eastAsia"/>
          <w:sz w:val="24"/>
        </w:rPr>
        <w:t>/期货</w:t>
      </w:r>
      <w:r>
        <w:rPr>
          <w:rFonts w:ascii="宋体" w:hAnsi="宋体"/>
          <w:sz w:val="24"/>
        </w:rPr>
        <w:t>市场波动、</w:t>
      </w:r>
      <w:r>
        <w:rPr>
          <w:rFonts w:ascii="宋体" w:hAnsi="宋体" w:hint="eastAsia"/>
          <w:sz w:val="24"/>
        </w:rPr>
        <w:t>证券发行人</w:t>
      </w:r>
      <w:r>
        <w:rPr>
          <w:rFonts w:ascii="宋体" w:hAnsi="宋体"/>
          <w:sz w:val="24"/>
        </w:rPr>
        <w:t>合并、基金规模变动等基金管理人之外的因素致使基金投资比例不符合上述规定投资比例的，基金管理人应当在10个交易日内进行调整</w:t>
      </w:r>
      <w:r>
        <w:rPr>
          <w:rFonts w:ascii="宋体" w:hAnsi="宋体" w:hint="eastAsia"/>
          <w:sz w:val="24"/>
        </w:rPr>
        <w:t>，</w:t>
      </w:r>
      <w:r>
        <w:rPr>
          <w:rFonts w:ascii="宋体" w:hAnsi="宋体"/>
          <w:sz w:val="24"/>
        </w:rPr>
        <w:t>但中国证监会规定的特殊情形除外。</w:t>
      </w:r>
      <w:r>
        <w:rPr>
          <w:rFonts w:ascii="宋体" w:hAnsi="宋体" w:hint="eastAsia"/>
          <w:sz w:val="24"/>
        </w:rPr>
        <w:t>法律法规或监管部门另有规定的，从其规定。</w:t>
      </w:r>
    </w:p>
    <w:p w14:paraId="25C1580D"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基金管理人应当自基金合同生效之日起</w:t>
      </w:r>
      <w:r>
        <w:rPr>
          <w:rFonts w:ascii="宋体" w:hAnsi="宋体" w:hint="eastAsia"/>
          <w:sz w:val="24"/>
        </w:rPr>
        <w:t>6</w:t>
      </w:r>
      <w:r>
        <w:rPr>
          <w:rFonts w:ascii="宋体" w:hAnsi="宋体"/>
          <w:sz w:val="24"/>
        </w:rPr>
        <w:t>个月内使基金的投资组合比例符合基金合同的有关约定。在上述期间内，本基金的投资范围、投资策略应当符合基金合同的约定。基金托管人对基金的投资的监督与检查自基金合同生效之日起开始。</w:t>
      </w:r>
      <w:r>
        <w:rPr>
          <w:rFonts w:ascii="宋体" w:hAnsi="宋体" w:hint="eastAsia"/>
          <w:sz w:val="24"/>
        </w:rPr>
        <w:t>法律法规或监管部门另有规定的，从其规定。</w:t>
      </w:r>
    </w:p>
    <w:p w14:paraId="055BAE1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法律法规或监管部门对上述投资组合比例限制进行变更的，以变更后的规定为准。</w:t>
      </w:r>
      <w:r>
        <w:rPr>
          <w:rFonts w:ascii="宋体" w:hAnsi="宋体"/>
          <w:sz w:val="24"/>
        </w:rPr>
        <w:t>法律法规或监管部门取消上述限制，如适用于本基金，基金管理人</w:t>
      </w:r>
      <w:r>
        <w:rPr>
          <w:rFonts w:ascii="宋体" w:hAnsi="宋体" w:hint="eastAsia"/>
          <w:sz w:val="24"/>
        </w:rPr>
        <w:t>在</w:t>
      </w:r>
      <w:r>
        <w:rPr>
          <w:rFonts w:ascii="宋体" w:hAnsi="宋体"/>
          <w:sz w:val="24"/>
        </w:rPr>
        <w:t>履行适当程序后，则本基金投资不再受相关限制</w:t>
      </w:r>
      <w:r>
        <w:rPr>
          <w:rFonts w:ascii="宋体" w:hAnsi="宋体" w:hint="eastAsia"/>
          <w:sz w:val="24"/>
        </w:rPr>
        <w:t>或按调整后的规定执行，无需经基金份额持有人大会审议，但须提前公告。</w:t>
      </w:r>
    </w:p>
    <w:p w14:paraId="293240C9"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禁止行为</w:t>
      </w:r>
    </w:p>
    <w:p w14:paraId="07EC1ABE" w14:textId="77777777" w:rsidR="008A6127" w:rsidRDefault="00437D9F">
      <w:pPr>
        <w:snapToGrid w:val="0"/>
        <w:spacing w:line="360" w:lineRule="auto"/>
        <w:ind w:firstLineChars="200" w:firstLine="480"/>
        <w:rPr>
          <w:rFonts w:ascii="宋体" w:hAnsi="宋体"/>
          <w:sz w:val="24"/>
        </w:rPr>
      </w:pPr>
      <w:r>
        <w:rPr>
          <w:rFonts w:ascii="宋体" w:hAnsi="宋体"/>
          <w:sz w:val="24"/>
        </w:rPr>
        <w:t>为维护基金份额持有人的合法权益，基金财产不得用于下列投资或者活动：</w:t>
      </w:r>
    </w:p>
    <w:p w14:paraId="07CA9596" w14:textId="77777777" w:rsidR="008A6127" w:rsidRDefault="00437D9F">
      <w:pPr>
        <w:snapToGrid w:val="0"/>
        <w:spacing w:line="360" w:lineRule="auto"/>
        <w:ind w:firstLineChars="200" w:firstLine="480"/>
        <w:rPr>
          <w:rFonts w:ascii="宋体" w:hAnsi="宋体"/>
          <w:sz w:val="24"/>
        </w:rPr>
      </w:pPr>
      <w:r>
        <w:rPr>
          <w:rFonts w:ascii="宋体" w:hAnsi="宋体"/>
          <w:sz w:val="24"/>
        </w:rPr>
        <w:t>（1）承销证券；</w:t>
      </w:r>
    </w:p>
    <w:p w14:paraId="01D95591"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2</w:t>
      </w:r>
      <w:r>
        <w:rPr>
          <w:rFonts w:ascii="宋体" w:hAnsi="宋体"/>
          <w:sz w:val="24"/>
        </w:rPr>
        <w:t>）</w:t>
      </w:r>
      <w:r>
        <w:rPr>
          <w:rFonts w:ascii="宋体" w:hAnsi="宋体" w:hint="eastAsia"/>
          <w:sz w:val="24"/>
        </w:rPr>
        <w:t>违反规定</w:t>
      </w:r>
      <w:r>
        <w:rPr>
          <w:rFonts w:ascii="宋体" w:hAnsi="宋体"/>
          <w:sz w:val="24"/>
        </w:rPr>
        <w:t>向他人贷款或者提供担保；</w:t>
      </w:r>
    </w:p>
    <w:p w14:paraId="09B44663"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3</w:t>
      </w:r>
      <w:r>
        <w:rPr>
          <w:rFonts w:ascii="宋体" w:hAnsi="宋体"/>
          <w:sz w:val="24"/>
        </w:rPr>
        <w:t>）从事承担无限责任的投资；</w:t>
      </w:r>
    </w:p>
    <w:p w14:paraId="63FD0BF9"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4</w:t>
      </w:r>
      <w:r>
        <w:rPr>
          <w:rFonts w:ascii="宋体" w:hAnsi="宋体"/>
          <w:sz w:val="24"/>
        </w:rPr>
        <w:t>）买卖其他基金份额，但是</w:t>
      </w:r>
      <w:r>
        <w:rPr>
          <w:rFonts w:ascii="宋体" w:hAnsi="宋体" w:hint="eastAsia"/>
          <w:sz w:val="24"/>
        </w:rPr>
        <w:t>中国证监会</w:t>
      </w:r>
      <w:r>
        <w:rPr>
          <w:rFonts w:ascii="宋体" w:hAnsi="宋体"/>
          <w:sz w:val="24"/>
        </w:rPr>
        <w:t>另有规定的除外；</w:t>
      </w:r>
    </w:p>
    <w:p w14:paraId="7DC12F47"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5</w:t>
      </w:r>
      <w:r>
        <w:rPr>
          <w:rFonts w:ascii="宋体" w:hAnsi="宋体"/>
          <w:sz w:val="24"/>
        </w:rPr>
        <w:t>）向其基金管理人、基金托管人出资；</w:t>
      </w:r>
    </w:p>
    <w:p w14:paraId="773FB3EC"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6</w:t>
      </w:r>
      <w:r>
        <w:rPr>
          <w:rFonts w:ascii="宋体" w:hAnsi="宋体"/>
          <w:sz w:val="24"/>
        </w:rPr>
        <w:t>）从事内幕交易、操纵证券交易价格及其他不正当的证券交易活动；</w:t>
      </w:r>
    </w:p>
    <w:p w14:paraId="61E64BC2"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7</w:t>
      </w:r>
      <w:r>
        <w:rPr>
          <w:rFonts w:ascii="宋体" w:hAnsi="宋体"/>
          <w:sz w:val="24"/>
        </w:rPr>
        <w:t>）法律</w:t>
      </w:r>
      <w:r>
        <w:rPr>
          <w:rFonts w:ascii="宋体" w:hAnsi="宋体" w:hint="eastAsia"/>
          <w:sz w:val="24"/>
        </w:rPr>
        <w:t>、行政</w:t>
      </w:r>
      <w:r>
        <w:rPr>
          <w:rFonts w:ascii="宋体" w:hAnsi="宋体"/>
          <w:sz w:val="24"/>
        </w:rPr>
        <w:t>法规</w:t>
      </w:r>
      <w:r>
        <w:rPr>
          <w:rFonts w:ascii="宋体" w:hAnsi="宋体" w:hint="eastAsia"/>
          <w:sz w:val="24"/>
        </w:rPr>
        <w:t>和</w:t>
      </w:r>
      <w:r>
        <w:rPr>
          <w:rFonts w:ascii="宋体" w:hAnsi="宋体"/>
          <w:sz w:val="24"/>
        </w:rPr>
        <w:t>中国证监会规定禁止的其他活动</w:t>
      </w:r>
      <w:r>
        <w:rPr>
          <w:rFonts w:ascii="宋体" w:hAnsi="宋体" w:hint="eastAsia"/>
          <w:sz w:val="24"/>
        </w:rPr>
        <w:t>。</w:t>
      </w:r>
    </w:p>
    <w:p w14:paraId="5AF5486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如法律法规或监管部门取消上述禁止性规定，基金管理人在履行适当程序后，</w:t>
      </w:r>
      <w:r>
        <w:rPr>
          <w:rFonts w:ascii="宋体" w:hAnsi="宋体" w:hint="eastAsia"/>
          <w:sz w:val="24"/>
        </w:rPr>
        <w:lastRenderedPageBreak/>
        <w:t>则本基金投资不再受相关限制，无需经基金份额持有人大会审议。</w:t>
      </w:r>
    </w:p>
    <w:p w14:paraId="0EE6E1EC"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、关联交易原则</w:t>
      </w:r>
    </w:p>
    <w:p w14:paraId="4A75DA0C"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263AEAD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如法律、行政法规或监管部门取消或变更上述限制，如适用于本基金，基金管理人在履行适当程序后，则本基金投资不再受相关限制或按变更后的规定执行，无需经基金份额持有人大会审议。</w:t>
      </w:r>
      <w:bookmarkEnd w:id="269"/>
    </w:p>
    <w:p w14:paraId="3D50ADFF"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（五）</w:t>
      </w:r>
      <w:r>
        <w:rPr>
          <w:rFonts w:ascii="宋体" w:hAnsi="宋体"/>
          <w:b/>
          <w:bCs/>
          <w:sz w:val="24"/>
        </w:rPr>
        <w:t>业绩比较基准</w:t>
      </w:r>
    </w:p>
    <w:p w14:paraId="5B2FF2B1" w14:textId="351A1AAD" w:rsidR="008A6127" w:rsidRDefault="00314CBD">
      <w:pPr>
        <w:snapToGrid w:val="0"/>
        <w:spacing w:line="360" w:lineRule="auto"/>
        <w:ind w:firstLineChars="200" w:firstLine="480"/>
        <w:rPr>
          <w:rFonts w:ascii="宋体" w:hAnsi="宋体"/>
          <w:sz w:val="24"/>
        </w:rPr>
      </w:pPr>
      <w:r w:rsidRPr="00314CBD">
        <w:rPr>
          <w:rFonts w:ascii="宋体" w:hAnsi="宋体" w:hint="eastAsia"/>
          <w:sz w:val="24"/>
        </w:rPr>
        <w:t>沪深300指数收益率*60%+中证港股</w:t>
      </w:r>
      <w:proofErr w:type="gramStart"/>
      <w:r w:rsidRPr="00314CBD">
        <w:rPr>
          <w:rFonts w:ascii="宋体" w:hAnsi="宋体" w:hint="eastAsia"/>
          <w:sz w:val="24"/>
        </w:rPr>
        <w:t>通综合</w:t>
      </w:r>
      <w:proofErr w:type="gramEnd"/>
      <w:r w:rsidRPr="00314CBD">
        <w:rPr>
          <w:rFonts w:ascii="宋体" w:hAnsi="宋体" w:hint="eastAsia"/>
          <w:sz w:val="24"/>
        </w:rPr>
        <w:t>指数（人民币）收益率*20%+中债-综合全价（总值）指数收益率*20%</w:t>
      </w:r>
    </w:p>
    <w:p w14:paraId="6100AF98"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1、业绩比较基准设定的原因</w:t>
      </w:r>
    </w:p>
    <w:p w14:paraId="725D3D59"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（1）基于基金投资范围以及预期投资的主要资产类别，本基金主要投资于A股股票、港股通股票、债券等资产，相应选取与之匹配的A股指数、港股</w:t>
      </w:r>
      <w:proofErr w:type="gramStart"/>
      <w:r w:rsidRPr="00766812">
        <w:rPr>
          <w:rFonts w:ascii="宋体" w:hAnsi="宋体" w:hint="eastAsia"/>
          <w:sz w:val="24"/>
        </w:rPr>
        <w:t>通指数</w:t>
      </w:r>
      <w:proofErr w:type="gramEnd"/>
      <w:r w:rsidRPr="00766812">
        <w:rPr>
          <w:rFonts w:ascii="宋体" w:hAnsi="宋体" w:hint="eastAsia"/>
          <w:sz w:val="24"/>
        </w:rPr>
        <w:t>与债券指数作为基准要素；同时基于基金投资于股票（</w:t>
      </w:r>
      <w:proofErr w:type="gramStart"/>
      <w:r w:rsidRPr="00766812">
        <w:rPr>
          <w:rFonts w:ascii="宋体" w:hAnsi="宋体" w:hint="eastAsia"/>
          <w:sz w:val="24"/>
        </w:rPr>
        <w:t>含存托</w:t>
      </w:r>
      <w:proofErr w:type="gramEnd"/>
      <w:r w:rsidRPr="00766812">
        <w:rPr>
          <w:rFonts w:ascii="宋体" w:hAnsi="宋体" w:hint="eastAsia"/>
          <w:sz w:val="24"/>
        </w:rPr>
        <w:t>凭证资产）占基金资产的比例为50%-95%（其中投资于港股通标的股票的比例不超过股票资产的50%）等投资比例限制，以及预期的资产配置比例，本基金将股票资产与债券资产所对应的基准要素权重分别设置为80%与20%，其中将股票资产中的A股股票与港股</w:t>
      </w:r>
      <w:proofErr w:type="gramStart"/>
      <w:r w:rsidRPr="00766812">
        <w:rPr>
          <w:rFonts w:ascii="宋体" w:hAnsi="宋体" w:hint="eastAsia"/>
          <w:sz w:val="24"/>
        </w:rPr>
        <w:t>通股</w:t>
      </w:r>
      <w:proofErr w:type="gramEnd"/>
      <w:r w:rsidRPr="00766812">
        <w:rPr>
          <w:rFonts w:ascii="宋体" w:hAnsi="宋体" w:hint="eastAsia"/>
          <w:sz w:val="24"/>
        </w:rPr>
        <w:t>票所对应的基准要素权重分别设置为60%与20%。</w:t>
      </w:r>
    </w:p>
    <w:p w14:paraId="7E076515"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2）基于基金投资目标、投资范围和投资策略，本基金的股票资产采用全市场选股策略，坚持自上而下与自下而上相结合的投资理念，在宏观策略研究基础上，把握结构性调整机会，将行业分析与个股精选相结合，寻找具有投资潜力的细分行业和个股。在严格控制风险的前提下，追求超越业绩比较基准的投资回报，力争实现基金资产的长期稳健增值。综合考虑基准指数与产品定位、投资风格的匹配度，同时兼顾考虑基准指数的表征性、认可度，以及指数市值覆盖、风格特征、行业与</w:t>
      </w:r>
      <w:proofErr w:type="gramStart"/>
      <w:r w:rsidRPr="00766812">
        <w:rPr>
          <w:rFonts w:ascii="宋体" w:hAnsi="宋体" w:hint="eastAsia"/>
          <w:sz w:val="24"/>
        </w:rPr>
        <w:t>个股</w:t>
      </w:r>
      <w:proofErr w:type="gramEnd"/>
      <w:r w:rsidRPr="00766812">
        <w:rPr>
          <w:rFonts w:ascii="宋体" w:hAnsi="宋体" w:hint="eastAsia"/>
          <w:sz w:val="24"/>
        </w:rPr>
        <w:t>分布等，本基金选取沪深300指数和中证港股</w:t>
      </w:r>
      <w:proofErr w:type="gramStart"/>
      <w:r w:rsidRPr="00766812">
        <w:rPr>
          <w:rFonts w:ascii="宋体" w:hAnsi="宋体" w:hint="eastAsia"/>
          <w:sz w:val="24"/>
        </w:rPr>
        <w:t>通综</w:t>
      </w:r>
      <w:proofErr w:type="gramEnd"/>
      <w:r w:rsidRPr="00766812">
        <w:rPr>
          <w:rFonts w:ascii="宋体" w:hAnsi="宋体" w:hint="eastAsia"/>
          <w:sz w:val="24"/>
        </w:rPr>
        <w:t>合指数</w:t>
      </w:r>
      <w:r w:rsidRPr="00766812">
        <w:rPr>
          <w:rFonts w:ascii="宋体" w:hAnsi="宋体" w:hint="eastAsia"/>
          <w:sz w:val="24"/>
        </w:rPr>
        <w:lastRenderedPageBreak/>
        <w:t>（人民币）分别作为A股和港股</w:t>
      </w:r>
      <w:proofErr w:type="gramStart"/>
      <w:r w:rsidRPr="00766812">
        <w:rPr>
          <w:rFonts w:ascii="宋体" w:hAnsi="宋体" w:hint="eastAsia"/>
          <w:sz w:val="24"/>
        </w:rPr>
        <w:t>通股</w:t>
      </w:r>
      <w:proofErr w:type="gramEnd"/>
      <w:r w:rsidRPr="00766812">
        <w:rPr>
          <w:rFonts w:ascii="宋体" w:hAnsi="宋体" w:hint="eastAsia"/>
          <w:sz w:val="24"/>
        </w:rPr>
        <w:t>票部分的基准要素，具体情况如下：</w:t>
      </w:r>
    </w:p>
    <w:p w14:paraId="7CBDCA3D"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沪深300指数由沪深市场中规模大、流动性好的最具代表性的300只证券组成，反映沪深市场上市公司证券的整体表现。指数样本量大，行业覆盖面广，适合作为本基金A股股票部分的业绩比较基准要素。</w:t>
      </w:r>
    </w:p>
    <w:p w14:paraId="180490DB"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中证港股</w:t>
      </w:r>
      <w:proofErr w:type="gramStart"/>
      <w:r w:rsidRPr="00766812">
        <w:rPr>
          <w:rFonts w:ascii="宋体" w:hAnsi="宋体" w:hint="eastAsia"/>
          <w:sz w:val="24"/>
        </w:rPr>
        <w:t>通综合</w:t>
      </w:r>
      <w:proofErr w:type="gramEnd"/>
      <w:r w:rsidRPr="00766812">
        <w:rPr>
          <w:rFonts w:ascii="宋体" w:hAnsi="宋体" w:hint="eastAsia"/>
          <w:sz w:val="24"/>
        </w:rPr>
        <w:t>指数（人民币）选取符合港股</w:t>
      </w:r>
      <w:proofErr w:type="gramStart"/>
      <w:r w:rsidRPr="00766812">
        <w:rPr>
          <w:rFonts w:ascii="宋体" w:hAnsi="宋体" w:hint="eastAsia"/>
          <w:sz w:val="24"/>
        </w:rPr>
        <w:t>通资</w:t>
      </w:r>
      <w:proofErr w:type="gramEnd"/>
      <w:r w:rsidRPr="00766812">
        <w:rPr>
          <w:rFonts w:ascii="宋体" w:hAnsi="宋体" w:hint="eastAsia"/>
          <w:sz w:val="24"/>
        </w:rPr>
        <w:t>格的上市公司证券作为样本，反映港股</w:t>
      </w:r>
      <w:proofErr w:type="gramStart"/>
      <w:r w:rsidRPr="00766812">
        <w:rPr>
          <w:rFonts w:ascii="宋体" w:hAnsi="宋体" w:hint="eastAsia"/>
          <w:sz w:val="24"/>
        </w:rPr>
        <w:t>通范</w:t>
      </w:r>
      <w:proofErr w:type="gramEnd"/>
      <w:r w:rsidRPr="00766812">
        <w:rPr>
          <w:rFonts w:ascii="宋体" w:hAnsi="宋体" w:hint="eastAsia"/>
          <w:sz w:val="24"/>
        </w:rPr>
        <w:t>围内上市公司的整体表现，适合作为本基金港股</w:t>
      </w:r>
      <w:proofErr w:type="gramStart"/>
      <w:r w:rsidRPr="00766812">
        <w:rPr>
          <w:rFonts w:ascii="宋体" w:hAnsi="宋体" w:hint="eastAsia"/>
          <w:sz w:val="24"/>
        </w:rPr>
        <w:t>通股</w:t>
      </w:r>
      <w:proofErr w:type="gramEnd"/>
      <w:r w:rsidRPr="00766812">
        <w:rPr>
          <w:rFonts w:ascii="宋体" w:hAnsi="宋体" w:hint="eastAsia"/>
          <w:sz w:val="24"/>
        </w:rPr>
        <w:t>票部分的业绩比较基准要素。</w:t>
      </w:r>
    </w:p>
    <w:p w14:paraId="0235DD6E"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（3）基于基金投资目标、投资范围和投资策略，本基金的债券资产采用全市场策略，主要</w:t>
      </w:r>
      <w:proofErr w:type="gramStart"/>
      <w:r w:rsidRPr="00766812">
        <w:rPr>
          <w:rFonts w:ascii="宋体" w:hAnsi="宋体" w:hint="eastAsia"/>
          <w:sz w:val="24"/>
        </w:rPr>
        <w:t>通过久期调整</w:t>
      </w:r>
      <w:proofErr w:type="gramEnd"/>
      <w:r w:rsidRPr="00766812">
        <w:rPr>
          <w:rFonts w:ascii="宋体" w:hAnsi="宋体" w:hint="eastAsia"/>
          <w:sz w:val="24"/>
        </w:rPr>
        <w:t>、期限结构配置、类属配置、个券选择等积极的投资策略进行投资管理。综合考虑基准指数与产品定位和投资风格的匹配度，同时兼顾考虑基准指数的表征性、认可度，以及基准指数券种、久期、信用等级分布特征等，选取中债-综合全价（总值）指数作为债券部分的业绩比较基准要素。</w:t>
      </w:r>
    </w:p>
    <w:p w14:paraId="677C7D74"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中债-综合全价（总值）指数的样本范围涵盖银行间市场和交易所市场，成份债券包括国家债券、企业债券、央行票据等主要债券种类，具有广泛的市场代表性，反映境内人民币债券市场整体表现，适合作为本基金债券部分的业绩比较基准要素。</w:t>
      </w:r>
    </w:p>
    <w:p w14:paraId="2DE5C9B3"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综上，本基金选取的业绩比较基准与基金投资目标、投资范围、投资策略、投资比例限制相匹配。</w:t>
      </w:r>
    </w:p>
    <w:p w14:paraId="63779A7D"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2、业绩比较基准要素的基本信息</w:t>
      </w:r>
    </w:p>
    <w:p w14:paraId="7E6E8BAB"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沪深300指数由中证指数有限公司编制发布，指数代码为000300，指数具体信息详见中证指数有限公司网站，网址：www.csindex.com.cn。</w:t>
      </w:r>
    </w:p>
    <w:p w14:paraId="71F10C4A"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中证港股</w:t>
      </w:r>
      <w:proofErr w:type="gramStart"/>
      <w:r w:rsidRPr="00766812">
        <w:rPr>
          <w:rFonts w:ascii="宋体" w:hAnsi="宋体" w:hint="eastAsia"/>
          <w:sz w:val="24"/>
        </w:rPr>
        <w:t>通综合</w:t>
      </w:r>
      <w:proofErr w:type="gramEnd"/>
      <w:r w:rsidRPr="00766812">
        <w:rPr>
          <w:rFonts w:ascii="宋体" w:hAnsi="宋体" w:hint="eastAsia"/>
          <w:sz w:val="24"/>
        </w:rPr>
        <w:t>指数（人民币）由中证指数有限公司编制发布，指数代码为930933，指数具体信息详见中证指数有限公司网站，网址：www.csindex.com.cn。</w:t>
      </w:r>
    </w:p>
    <w:p w14:paraId="477165BF"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中债-综合全价（总值）指数由中</w:t>
      </w:r>
      <w:proofErr w:type="gramStart"/>
      <w:r w:rsidRPr="00766812">
        <w:rPr>
          <w:rFonts w:ascii="宋体" w:hAnsi="宋体" w:hint="eastAsia"/>
          <w:sz w:val="24"/>
        </w:rPr>
        <w:t>债金融</w:t>
      </w:r>
      <w:proofErr w:type="gramEnd"/>
      <w:r w:rsidRPr="00766812">
        <w:rPr>
          <w:rFonts w:ascii="宋体" w:hAnsi="宋体" w:hint="eastAsia"/>
          <w:sz w:val="24"/>
        </w:rPr>
        <w:t>估值中心有限公司编制发布，指数代码为CBA00203，指数具体信息详见中国债券信息网，网址：www.chinabond.com.cn。</w:t>
      </w:r>
    </w:p>
    <w:p w14:paraId="64593BC2"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3、业绩比较基准的计算方法</w:t>
      </w:r>
    </w:p>
    <w:p w14:paraId="4E56667B"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本基金业绩比较基准收益率的计算方法以每日收益率为基础，以时间加权为计算原则。本基金先分别计算业绩比较基准中的沪深300指数、中证港股</w:t>
      </w:r>
      <w:proofErr w:type="gramStart"/>
      <w:r w:rsidRPr="00766812">
        <w:rPr>
          <w:rFonts w:ascii="宋体" w:hAnsi="宋体" w:hint="eastAsia"/>
          <w:sz w:val="24"/>
        </w:rPr>
        <w:t>通综合</w:t>
      </w:r>
      <w:proofErr w:type="gramEnd"/>
      <w:r w:rsidRPr="00766812">
        <w:rPr>
          <w:rFonts w:ascii="宋体" w:hAnsi="宋体" w:hint="eastAsia"/>
          <w:sz w:val="24"/>
        </w:rPr>
        <w:t>指数（人民币）、中债-综合全价（总值）指数的每日收益率，再按照预设权重</w:t>
      </w:r>
      <w:r w:rsidRPr="00766812">
        <w:rPr>
          <w:rFonts w:ascii="宋体" w:hAnsi="宋体" w:hint="eastAsia"/>
          <w:sz w:val="24"/>
        </w:rPr>
        <w:lastRenderedPageBreak/>
        <w:t>比例计算当日组合要素基准的日收益率，并连乘每日收益率。</w:t>
      </w:r>
    </w:p>
    <w:p w14:paraId="63A650D4"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4、管理投资偏离业绩比较基准的定性或定量方法</w:t>
      </w:r>
    </w:p>
    <w:p w14:paraId="7E77AE2D"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本基金管理人对基金实际投资与业绩比较基准的偏离情况进行动态跟踪与监测评估，监测指标主要包括信息比率、跟踪误差、超额收益、卡</w:t>
      </w:r>
      <w:proofErr w:type="gramStart"/>
      <w:r w:rsidRPr="00766812">
        <w:rPr>
          <w:rFonts w:ascii="宋体" w:hAnsi="宋体" w:hint="eastAsia"/>
          <w:sz w:val="24"/>
        </w:rPr>
        <w:t>玛</w:t>
      </w:r>
      <w:proofErr w:type="gramEnd"/>
      <w:r w:rsidRPr="00766812">
        <w:rPr>
          <w:rFonts w:ascii="宋体" w:hAnsi="宋体" w:hint="eastAsia"/>
          <w:sz w:val="24"/>
        </w:rPr>
        <w:t>比率等，以更好管理基金实际投资与业绩比较基准的偏离情况，在严格控制风险的前提下，追求超越业绩比较基准的投资回报，力争实现基金资产的长期稳健增值。对于股票资产，可以采用股票配置偏离限额（</w:t>
      </w:r>
      <w:proofErr w:type="gramStart"/>
      <w:r w:rsidRPr="00766812">
        <w:rPr>
          <w:rFonts w:ascii="宋体" w:hAnsi="宋体" w:hint="eastAsia"/>
          <w:sz w:val="24"/>
        </w:rPr>
        <w:t>仓位</w:t>
      </w:r>
      <w:proofErr w:type="gramEnd"/>
      <w:r w:rsidRPr="00766812">
        <w:rPr>
          <w:rFonts w:ascii="宋体" w:hAnsi="宋体" w:hint="eastAsia"/>
          <w:sz w:val="24"/>
        </w:rPr>
        <w:t>、行业或风格结构偏离等）、基准成份券覆盖率、主动比率等指标；对于债券资产，可以</w:t>
      </w:r>
      <w:proofErr w:type="gramStart"/>
      <w:r w:rsidRPr="00766812">
        <w:rPr>
          <w:rFonts w:ascii="宋体" w:hAnsi="宋体" w:hint="eastAsia"/>
          <w:sz w:val="24"/>
        </w:rPr>
        <w:t>采用久期中枢</w:t>
      </w:r>
      <w:proofErr w:type="gramEnd"/>
      <w:r w:rsidRPr="00766812">
        <w:rPr>
          <w:rFonts w:ascii="宋体" w:hAnsi="宋体" w:hint="eastAsia"/>
          <w:sz w:val="24"/>
        </w:rPr>
        <w:t>、信用风险暴露集中度、含权资产（如有）</w:t>
      </w:r>
      <w:proofErr w:type="gramStart"/>
      <w:r w:rsidRPr="00766812">
        <w:rPr>
          <w:rFonts w:ascii="宋体" w:hAnsi="宋体" w:hint="eastAsia"/>
          <w:sz w:val="24"/>
        </w:rPr>
        <w:t>仓</w:t>
      </w:r>
      <w:proofErr w:type="gramEnd"/>
      <w:r w:rsidRPr="00766812">
        <w:rPr>
          <w:rFonts w:ascii="宋体" w:hAnsi="宋体" w:hint="eastAsia"/>
          <w:sz w:val="24"/>
        </w:rPr>
        <w:t>位与结构、最大回撤等指标。</w:t>
      </w:r>
    </w:p>
    <w:p w14:paraId="5061FA65"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766812">
        <w:rPr>
          <w:rFonts w:ascii="宋体" w:hAnsi="宋体" w:hint="eastAsia"/>
          <w:sz w:val="24"/>
        </w:rPr>
        <w:t>研判等</w:t>
      </w:r>
      <w:proofErr w:type="gramEnd"/>
      <w:r w:rsidRPr="00766812">
        <w:rPr>
          <w:rFonts w:ascii="宋体" w:hAnsi="宋体" w:hint="eastAsia"/>
          <w:sz w:val="24"/>
        </w:rPr>
        <w:t>综合因素，自主构建投资组合，包括酌情投资于业绩比较基准要素成份证券外的证券。本基金投资组合相对业绩比较基准要素成份证券和权重可能存在偏离。</w:t>
      </w:r>
    </w:p>
    <w:p w14:paraId="59CFCCE1"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5、未来可能变更业绩比较基准的情况和程序</w:t>
      </w:r>
    </w:p>
    <w:p w14:paraId="13F3CBED"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0AE30410"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421F9FCC"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（2）调整业绩比较基准的要素权重、更换相同或相近特征的要素等，使新业绩比较基准代表性更强，且符合相关法律法规规定的；</w:t>
      </w:r>
    </w:p>
    <w:p w14:paraId="5242219C"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（3）中国证监会认可的其他情形。</w:t>
      </w:r>
    </w:p>
    <w:p w14:paraId="4E1048F8"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业绩比较基准变更涉及以下情形的，基金管理人应当按照规定履行变更注册、召开基金份额持有人大会等程序，法律法规、中国证监会另有规定的除外：</w:t>
      </w:r>
    </w:p>
    <w:p w14:paraId="61CC3021"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（1）基金投资目标、投资范围、投资策略、投资比例等拟进行重大调整，并变更业绩比较基准的；</w:t>
      </w:r>
    </w:p>
    <w:p w14:paraId="5DACD037" w14:textId="7F4CE046" w:rsidR="008A6127" w:rsidRDefault="00766812">
      <w:pPr>
        <w:snapToGrid w:val="0"/>
        <w:spacing w:line="360" w:lineRule="auto"/>
        <w:ind w:firstLineChars="200" w:firstLine="480"/>
        <w:rPr>
          <w:rFonts w:ascii="宋体" w:hAnsi="宋体"/>
          <w:sz w:val="24"/>
        </w:rPr>
      </w:pPr>
      <w:r w:rsidRPr="00766812">
        <w:rPr>
          <w:rFonts w:ascii="宋体" w:hAnsi="宋体" w:hint="eastAsia"/>
          <w:sz w:val="24"/>
        </w:rPr>
        <w:lastRenderedPageBreak/>
        <w:t>（2）其他对基金份额持有人利益产生重大实质性影响的情形。</w:t>
      </w:r>
    </w:p>
    <w:p w14:paraId="49BCA3EC"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（六）</w:t>
      </w:r>
      <w:r>
        <w:rPr>
          <w:rFonts w:ascii="宋体" w:hAnsi="宋体"/>
          <w:b/>
          <w:bCs/>
          <w:sz w:val="24"/>
        </w:rPr>
        <w:t>风险收益特征</w:t>
      </w:r>
    </w:p>
    <w:p w14:paraId="64E97BA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本基金为混合型基金，其风险和预期收益水平高于债券型基金及货币市场基金，而低于股票型基金。本基金将投资港股通标的股票，需承担港股</w:t>
      </w:r>
      <w:proofErr w:type="gramStart"/>
      <w:r>
        <w:rPr>
          <w:rFonts w:ascii="宋体" w:hAnsi="宋体" w:hint="eastAsia"/>
          <w:sz w:val="24"/>
        </w:rPr>
        <w:t>通机制</w:t>
      </w:r>
      <w:proofErr w:type="gramEnd"/>
      <w:r>
        <w:rPr>
          <w:rFonts w:ascii="宋体" w:hAnsi="宋体" w:hint="eastAsia"/>
          <w:sz w:val="24"/>
        </w:rPr>
        <w:t>下因投资环境、投资标的、市场制度以及交易规则等差异带来的特有风险。</w:t>
      </w:r>
    </w:p>
    <w:p w14:paraId="6C3AD871"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（七）基金管理人代表基金行使股东或债权人权利的处理原则及方法</w:t>
      </w:r>
    </w:p>
    <w:p w14:paraId="288E4829" w14:textId="77777777" w:rsidR="008A6127" w:rsidRDefault="00437D9F">
      <w:pPr>
        <w:snapToGrid w:val="0"/>
        <w:spacing w:line="360" w:lineRule="auto"/>
        <w:ind w:firstLineChars="200" w:firstLine="480"/>
        <w:rPr>
          <w:rFonts w:ascii="宋体" w:hAnsi="宋体"/>
          <w:sz w:val="24"/>
        </w:rPr>
      </w:pPr>
      <w:r>
        <w:rPr>
          <w:rFonts w:ascii="宋体" w:hAnsi="宋体"/>
          <w:sz w:val="24"/>
        </w:rPr>
        <w:t xml:space="preserve">1、基金管理人按照国家有关规定代表基金独立行使股东或债权人权利，保护基金份额持有人的利益； </w:t>
      </w:r>
    </w:p>
    <w:p w14:paraId="75730FF4" w14:textId="77777777" w:rsidR="008A6127" w:rsidRDefault="00437D9F">
      <w:pPr>
        <w:snapToGrid w:val="0"/>
        <w:spacing w:line="360" w:lineRule="auto"/>
        <w:ind w:firstLineChars="200" w:firstLine="480"/>
        <w:rPr>
          <w:rFonts w:ascii="宋体" w:hAnsi="宋体"/>
          <w:sz w:val="24"/>
        </w:rPr>
      </w:pPr>
      <w:r>
        <w:rPr>
          <w:rFonts w:ascii="宋体" w:hAnsi="宋体"/>
          <w:sz w:val="24"/>
        </w:rPr>
        <w:t>2、不谋求对上</w:t>
      </w:r>
      <w:r>
        <w:rPr>
          <w:rFonts w:ascii="宋体" w:hAnsi="宋体" w:hint="eastAsia"/>
          <w:sz w:val="24"/>
        </w:rPr>
        <w:t>市公司的控股；</w:t>
      </w:r>
      <w:r>
        <w:rPr>
          <w:rFonts w:ascii="宋体" w:hAnsi="宋体"/>
          <w:sz w:val="24"/>
        </w:rPr>
        <w:t xml:space="preserve"> </w:t>
      </w:r>
    </w:p>
    <w:p w14:paraId="5A37F348" w14:textId="77777777" w:rsidR="008A6127" w:rsidRDefault="00437D9F">
      <w:pPr>
        <w:snapToGrid w:val="0"/>
        <w:spacing w:line="360" w:lineRule="auto"/>
        <w:ind w:firstLineChars="200" w:firstLine="480"/>
        <w:rPr>
          <w:rFonts w:ascii="宋体" w:hAnsi="宋体"/>
          <w:sz w:val="24"/>
        </w:rPr>
      </w:pPr>
      <w:r>
        <w:rPr>
          <w:rFonts w:ascii="宋体" w:hAnsi="宋体"/>
          <w:sz w:val="24"/>
        </w:rPr>
        <w:t xml:space="preserve">3、有利于基金财产的安全与增值； </w:t>
      </w:r>
    </w:p>
    <w:p w14:paraId="2F7D03DF" w14:textId="77777777" w:rsidR="008A6127" w:rsidRDefault="00437D9F">
      <w:pPr>
        <w:snapToGrid w:val="0"/>
        <w:spacing w:line="360" w:lineRule="auto"/>
        <w:ind w:firstLineChars="200" w:firstLine="480"/>
        <w:rPr>
          <w:rFonts w:ascii="宋体" w:hAnsi="宋体"/>
          <w:sz w:val="24"/>
        </w:rPr>
      </w:pPr>
      <w:r>
        <w:rPr>
          <w:rFonts w:ascii="宋体" w:hAnsi="宋体"/>
          <w:sz w:val="24"/>
        </w:rPr>
        <w:t>4、不通过关联交易为自身、雇员、授权代理人或任何存在利害关系的第三人牟取任何不当利益。</w:t>
      </w:r>
    </w:p>
    <w:p w14:paraId="6A0A5F5F"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（八）</w:t>
      </w:r>
      <w:r>
        <w:rPr>
          <w:rFonts w:ascii="宋体" w:hAnsi="宋体"/>
          <w:b/>
          <w:bCs/>
          <w:sz w:val="24"/>
        </w:rPr>
        <w:t>基金投资组合报告</w:t>
      </w:r>
    </w:p>
    <w:p w14:paraId="465A0DE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基金管理人的董事会及董事保证本报告不存在虚假记载、误导性陈述或重大遗漏，并对其内容的真实性、准确性和完整性承担个别及连带责任。</w:t>
      </w:r>
    </w:p>
    <w:p w14:paraId="07D4106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基金托管人根据基金合同规定复核了本报告中的财务指标、净值表现和投资组合报告等内容，保证复核内容不存在虚假记载、误导性陈述或者重大遗漏。</w:t>
      </w:r>
    </w:p>
    <w:p w14:paraId="6D858C0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基金管理人承诺以诚实信用、勤勉尽责的原则管理和运用基金资产，但不保证基金一定盈利。</w:t>
      </w:r>
    </w:p>
    <w:p w14:paraId="37595E6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基金的过往业绩并不代表其未来表现。投资有风险，投资者在</w:t>
      </w:r>
      <w:proofErr w:type="gramStart"/>
      <w:r>
        <w:rPr>
          <w:rFonts w:ascii="宋体" w:hAnsi="宋体" w:hint="eastAsia"/>
          <w:sz w:val="24"/>
        </w:rPr>
        <w:t>作出</w:t>
      </w:r>
      <w:proofErr w:type="gramEnd"/>
      <w:r>
        <w:rPr>
          <w:rFonts w:ascii="宋体" w:hAnsi="宋体" w:hint="eastAsia"/>
          <w:sz w:val="24"/>
        </w:rPr>
        <w:t>投资决策前应仔细阅读本基金的招募说明书。</w:t>
      </w:r>
    </w:p>
    <w:p w14:paraId="7A8867DE" w14:textId="49B16D64" w:rsidR="008A6127" w:rsidRDefault="00437D9F">
      <w:pPr>
        <w:snapToGrid w:val="0"/>
        <w:spacing w:line="360" w:lineRule="auto"/>
        <w:ind w:firstLineChars="200" w:firstLine="480"/>
        <w:rPr>
          <w:rFonts w:ascii="宋体" w:hAnsi="宋体"/>
          <w:sz w:val="24"/>
        </w:rPr>
      </w:pPr>
      <w:r>
        <w:rPr>
          <w:rFonts w:ascii="宋体" w:hAnsi="宋体" w:hint="eastAsia"/>
          <w:sz w:val="24"/>
        </w:rPr>
        <w:t>本投资组合报告所载数据截至</w:t>
      </w:r>
      <w:r w:rsidR="00EA216F">
        <w:rPr>
          <w:rFonts w:ascii="宋体" w:hAnsi="宋体" w:hint="eastAsia"/>
          <w:sz w:val="24"/>
        </w:rPr>
        <w:t>2</w:t>
      </w:r>
      <w:r w:rsidR="00EA216F">
        <w:rPr>
          <w:rFonts w:ascii="宋体" w:hAnsi="宋体"/>
          <w:sz w:val="24"/>
        </w:rPr>
        <w:t>026</w:t>
      </w:r>
      <w:r w:rsidR="00EA216F">
        <w:rPr>
          <w:rFonts w:ascii="宋体" w:hAnsi="宋体" w:hint="eastAsia"/>
          <w:sz w:val="24"/>
        </w:rPr>
        <w:t>年</w:t>
      </w:r>
      <w:r w:rsidR="00EA216F">
        <w:rPr>
          <w:rFonts w:ascii="宋体" w:hAnsi="宋体"/>
          <w:sz w:val="24"/>
        </w:rPr>
        <w:t>6</w:t>
      </w:r>
      <w:r>
        <w:rPr>
          <w:rFonts w:ascii="宋体" w:hAnsi="宋体" w:hint="eastAsia"/>
          <w:sz w:val="24"/>
        </w:rPr>
        <w:t>月</w:t>
      </w:r>
      <w:r w:rsidR="00EA216F">
        <w:rPr>
          <w:rFonts w:ascii="宋体" w:hAnsi="宋体"/>
          <w:sz w:val="24"/>
        </w:rPr>
        <w:t>30</w:t>
      </w:r>
      <w:r>
        <w:rPr>
          <w:rFonts w:ascii="宋体" w:hAnsi="宋体" w:hint="eastAsia"/>
          <w:sz w:val="24"/>
        </w:rPr>
        <w:t>日（未经审计）。</w:t>
      </w:r>
    </w:p>
    <w:p w14:paraId="5E059B8B" w14:textId="77777777" w:rsidR="008A6127" w:rsidRDefault="00437D9F">
      <w:pPr>
        <w:snapToGrid w:val="0"/>
        <w:spacing w:line="360" w:lineRule="auto"/>
        <w:ind w:firstLineChars="200" w:firstLine="480"/>
        <w:rPr>
          <w:rFonts w:ascii="宋体" w:hAnsi="宋体"/>
          <w:sz w:val="24"/>
        </w:rPr>
      </w:pPr>
      <w:bookmarkStart w:id="272" w:name="_Toc10663"/>
      <w:bookmarkStart w:id="273" w:name="_Toc421532548"/>
      <w:bookmarkStart w:id="274" w:name="_Toc31495"/>
      <w:bookmarkStart w:id="275" w:name="_Toc12840"/>
      <w:bookmarkStart w:id="276" w:name="_Toc28635"/>
      <w:bookmarkStart w:id="277" w:name="_Toc6496"/>
      <w:r>
        <w:rPr>
          <w:rFonts w:ascii="宋体" w:hAnsi="宋体"/>
          <w:sz w:val="24"/>
        </w:rPr>
        <w:t>1</w:t>
      </w:r>
      <w:r>
        <w:rPr>
          <w:rFonts w:ascii="宋体" w:hAnsi="宋体" w:hint="eastAsia"/>
          <w:sz w:val="24"/>
        </w:rPr>
        <w:t>、报告期末基金资产组合情况</w:t>
      </w:r>
    </w:p>
    <w:tbl>
      <w:tblPr>
        <w:tblW w:w="0" w:type="auto"/>
        <w:tblInd w:w="108" w:type="dxa"/>
        <w:tblLook w:val="04A0" w:firstRow="1" w:lastRow="0" w:firstColumn="1" w:lastColumn="0" w:noHBand="0" w:noVBand="1"/>
      </w:tblPr>
      <w:tblGrid>
        <w:gridCol w:w="750"/>
        <w:gridCol w:w="2673"/>
        <w:gridCol w:w="2337"/>
        <w:gridCol w:w="2418"/>
      </w:tblGrid>
      <w:tr w:rsidR="008A6127" w14:paraId="51AF062E" w14:textId="77777777">
        <w:tc>
          <w:tcPr>
            <w:tcW w:w="750" w:type="dxa"/>
            <w:tcBorders>
              <w:top w:val="single" w:sz="8" w:space="0" w:color="000000"/>
              <w:left w:val="single" w:sz="8" w:space="0" w:color="000000"/>
              <w:bottom w:val="single" w:sz="6" w:space="0" w:color="000000"/>
              <w:right w:val="single" w:sz="8" w:space="0" w:color="000000"/>
            </w:tcBorders>
            <w:vAlign w:val="center"/>
          </w:tcPr>
          <w:p w14:paraId="182D12EB" w14:textId="77777777" w:rsidR="008A6127" w:rsidRDefault="00437D9F">
            <w:pPr>
              <w:pStyle w:val="biaogecenter"/>
              <w:wordWrap w:val="0"/>
            </w:pPr>
            <w:r>
              <w:rPr>
                <w:rFonts w:hAnsi="Calibri" w:hint="eastAsia"/>
                <w:color w:val="000000"/>
              </w:rPr>
              <w:t>序号</w:t>
            </w:r>
          </w:p>
        </w:tc>
        <w:tc>
          <w:tcPr>
            <w:tcW w:w="2673" w:type="dxa"/>
            <w:tcBorders>
              <w:top w:val="single" w:sz="8" w:space="0" w:color="000000"/>
              <w:left w:val="single" w:sz="8" w:space="0" w:color="000000"/>
              <w:bottom w:val="single" w:sz="6" w:space="0" w:color="000000"/>
              <w:right w:val="single" w:sz="8" w:space="0" w:color="000000"/>
            </w:tcBorders>
            <w:vAlign w:val="center"/>
          </w:tcPr>
          <w:p w14:paraId="143B78AC" w14:textId="77777777" w:rsidR="008A6127" w:rsidRDefault="00437D9F">
            <w:pPr>
              <w:pStyle w:val="biaogecenter"/>
              <w:wordWrap w:val="0"/>
            </w:pPr>
            <w:r>
              <w:rPr>
                <w:rFonts w:hAnsi="Calibri" w:hint="eastAsia"/>
                <w:color w:val="000000"/>
              </w:rPr>
              <w:t>项目</w:t>
            </w:r>
          </w:p>
        </w:tc>
        <w:tc>
          <w:tcPr>
            <w:tcW w:w="2337" w:type="dxa"/>
            <w:tcBorders>
              <w:top w:val="single" w:sz="8" w:space="0" w:color="000000"/>
              <w:left w:val="single" w:sz="8" w:space="0" w:color="000000"/>
              <w:bottom w:val="single" w:sz="6" w:space="0" w:color="000000"/>
              <w:right w:val="single" w:sz="8" w:space="0" w:color="000000"/>
            </w:tcBorders>
            <w:vAlign w:val="center"/>
          </w:tcPr>
          <w:p w14:paraId="489113E8" w14:textId="77777777" w:rsidR="008A6127" w:rsidRDefault="00437D9F">
            <w:pPr>
              <w:pStyle w:val="biaogecenter"/>
              <w:wordWrap w:val="0"/>
            </w:pPr>
            <w:r>
              <w:rPr>
                <w:rFonts w:hAnsi="Calibri" w:hint="eastAsia"/>
                <w:color w:val="000000"/>
              </w:rPr>
              <w:t>金额(元)</w:t>
            </w:r>
          </w:p>
        </w:tc>
        <w:tc>
          <w:tcPr>
            <w:tcW w:w="2418" w:type="dxa"/>
            <w:tcBorders>
              <w:top w:val="single" w:sz="8" w:space="0" w:color="000000"/>
              <w:left w:val="single" w:sz="8" w:space="0" w:color="000000"/>
              <w:bottom w:val="single" w:sz="6" w:space="0" w:color="000000"/>
              <w:right w:val="single" w:sz="8" w:space="0" w:color="000000"/>
            </w:tcBorders>
            <w:vAlign w:val="center"/>
          </w:tcPr>
          <w:p w14:paraId="00B598AE" w14:textId="77777777" w:rsidR="008A6127" w:rsidRDefault="00437D9F">
            <w:pPr>
              <w:pStyle w:val="biaogecenter"/>
              <w:wordWrap w:val="0"/>
            </w:pPr>
            <w:r>
              <w:rPr>
                <w:rFonts w:hAnsi="Calibri" w:hint="eastAsia"/>
                <w:color w:val="000000"/>
              </w:rPr>
              <w:t>占基金总资产的比例（%）</w:t>
            </w:r>
          </w:p>
        </w:tc>
      </w:tr>
      <w:tr w:rsidR="00EA216F" w14:paraId="0B950F9D"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428CEAAE" w14:textId="77777777" w:rsidR="00EA216F" w:rsidRDefault="00EA216F" w:rsidP="00EA216F">
            <w:pPr>
              <w:pStyle w:val="biaogecenter"/>
              <w:wordWrap w:val="0"/>
            </w:pPr>
            <w:r>
              <w:rPr>
                <w:rFonts w:hAnsi="Calibri" w:hint="eastAsia"/>
                <w:color w:val="000000"/>
              </w:rPr>
              <w:t>1</w:t>
            </w:r>
          </w:p>
        </w:tc>
        <w:tc>
          <w:tcPr>
            <w:tcW w:w="2673" w:type="dxa"/>
            <w:tcBorders>
              <w:top w:val="single" w:sz="8" w:space="0" w:color="000000"/>
              <w:left w:val="single" w:sz="8" w:space="0" w:color="000000"/>
              <w:bottom w:val="single" w:sz="6" w:space="0" w:color="000000"/>
              <w:right w:val="single" w:sz="8" w:space="0" w:color="000000"/>
            </w:tcBorders>
            <w:vAlign w:val="center"/>
          </w:tcPr>
          <w:p w14:paraId="3313DD98" w14:textId="77777777" w:rsidR="00EA216F" w:rsidRDefault="00EA216F" w:rsidP="00EA216F">
            <w:pPr>
              <w:pStyle w:val="biaogeleft"/>
              <w:wordWrap w:val="0"/>
            </w:pPr>
            <w:r>
              <w:rPr>
                <w:rFonts w:hint="eastAsia"/>
              </w:rPr>
              <w:t>权益投资</w:t>
            </w:r>
          </w:p>
        </w:tc>
        <w:tc>
          <w:tcPr>
            <w:tcW w:w="2337" w:type="dxa"/>
            <w:tcBorders>
              <w:top w:val="single" w:sz="8" w:space="0" w:color="000000"/>
              <w:left w:val="single" w:sz="8" w:space="0" w:color="000000"/>
              <w:bottom w:val="single" w:sz="6" w:space="0" w:color="000000"/>
              <w:right w:val="single" w:sz="8" w:space="0" w:color="000000"/>
            </w:tcBorders>
          </w:tcPr>
          <w:p w14:paraId="1C28D588" w14:textId="36BE6760" w:rsidR="00EA216F" w:rsidRDefault="00EA216F" w:rsidP="00EA216F">
            <w:pPr>
              <w:pStyle w:val="biaogeright"/>
              <w:wordWrap w:val="0"/>
            </w:pPr>
            <w:r w:rsidRPr="002E382F">
              <w:t>1,621,840,686.82</w:t>
            </w:r>
          </w:p>
        </w:tc>
        <w:tc>
          <w:tcPr>
            <w:tcW w:w="2418" w:type="dxa"/>
            <w:tcBorders>
              <w:top w:val="single" w:sz="8" w:space="0" w:color="000000"/>
              <w:left w:val="single" w:sz="8" w:space="0" w:color="000000"/>
              <w:bottom w:val="single" w:sz="6" w:space="0" w:color="000000"/>
              <w:right w:val="single" w:sz="8" w:space="0" w:color="000000"/>
            </w:tcBorders>
          </w:tcPr>
          <w:p w14:paraId="6594768E" w14:textId="4190A3BE" w:rsidR="00EA216F" w:rsidRDefault="00EA216F" w:rsidP="00EA216F">
            <w:pPr>
              <w:pStyle w:val="biaogeright"/>
              <w:wordWrap w:val="0"/>
            </w:pPr>
            <w:r w:rsidRPr="002E382F">
              <w:t>86.57</w:t>
            </w:r>
          </w:p>
        </w:tc>
      </w:tr>
      <w:tr w:rsidR="00EA216F" w14:paraId="4F855699"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7084AE55" w14:textId="77777777" w:rsidR="00EA216F" w:rsidRDefault="00EA216F" w:rsidP="00EA216F">
            <w:pPr>
              <w:rPr>
                <w:rFonts w:ascii="宋体" w:hAnsi="宋体" w:cs="宋体"/>
                <w:kern w:val="0"/>
                <w:sz w:val="24"/>
              </w:rPr>
            </w:pPr>
          </w:p>
        </w:tc>
        <w:tc>
          <w:tcPr>
            <w:tcW w:w="2673" w:type="dxa"/>
            <w:tcBorders>
              <w:top w:val="single" w:sz="8" w:space="0" w:color="000000"/>
              <w:left w:val="single" w:sz="8" w:space="0" w:color="000000"/>
              <w:bottom w:val="single" w:sz="6" w:space="0" w:color="000000"/>
              <w:right w:val="single" w:sz="8" w:space="0" w:color="000000"/>
            </w:tcBorders>
            <w:vAlign w:val="center"/>
          </w:tcPr>
          <w:p w14:paraId="2D20EAD7" w14:textId="77777777" w:rsidR="00EA216F" w:rsidRDefault="00EA216F" w:rsidP="00EA216F">
            <w:pPr>
              <w:pStyle w:val="biaogeleft"/>
              <w:wordWrap w:val="0"/>
            </w:pPr>
            <w:r>
              <w:rPr>
                <w:rFonts w:hint="eastAsia"/>
              </w:rPr>
              <w:t>其中：股票</w:t>
            </w:r>
          </w:p>
        </w:tc>
        <w:tc>
          <w:tcPr>
            <w:tcW w:w="2337" w:type="dxa"/>
            <w:tcBorders>
              <w:top w:val="single" w:sz="8" w:space="0" w:color="000000"/>
              <w:left w:val="single" w:sz="8" w:space="0" w:color="000000"/>
              <w:bottom w:val="single" w:sz="6" w:space="0" w:color="000000"/>
              <w:right w:val="single" w:sz="8" w:space="0" w:color="000000"/>
            </w:tcBorders>
          </w:tcPr>
          <w:p w14:paraId="62DE0C9A" w14:textId="64E69001" w:rsidR="00EA216F" w:rsidRDefault="00EA216F" w:rsidP="00EA216F">
            <w:pPr>
              <w:pStyle w:val="biaogeright"/>
              <w:wordWrap w:val="0"/>
            </w:pPr>
            <w:r w:rsidRPr="002E382F">
              <w:t>1,621,840,686.82</w:t>
            </w:r>
          </w:p>
        </w:tc>
        <w:tc>
          <w:tcPr>
            <w:tcW w:w="2418" w:type="dxa"/>
            <w:tcBorders>
              <w:top w:val="single" w:sz="8" w:space="0" w:color="000000"/>
              <w:left w:val="single" w:sz="8" w:space="0" w:color="000000"/>
              <w:bottom w:val="single" w:sz="6" w:space="0" w:color="000000"/>
              <w:right w:val="single" w:sz="8" w:space="0" w:color="000000"/>
            </w:tcBorders>
          </w:tcPr>
          <w:p w14:paraId="7B964942" w14:textId="7C2F6A59" w:rsidR="00EA216F" w:rsidRDefault="00EA216F" w:rsidP="00EA216F">
            <w:pPr>
              <w:pStyle w:val="biaogeright"/>
              <w:wordWrap w:val="0"/>
            </w:pPr>
            <w:r w:rsidRPr="002E382F">
              <w:t>86.57</w:t>
            </w:r>
          </w:p>
        </w:tc>
      </w:tr>
      <w:tr w:rsidR="00EA216F" w14:paraId="03F0232B"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4957FB88" w14:textId="77777777" w:rsidR="00EA216F" w:rsidRDefault="00EA216F" w:rsidP="00EA216F">
            <w:pPr>
              <w:pStyle w:val="biaogecenter"/>
              <w:wordWrap w:val="0"/>
            </w:pPr>
            <w:r>
              <w:rPr>
                <w:rFonts w:hAnsi="Calibri" w:hint="eastAsia"/>
                <w:color w:val="000000"/>
              </w:rPr>
              <w:t>2</w:t>
            </w:r>
          </w:p>
        </w:tc>
        <w:tc>
          <w:tcPr>
            <w:tcW w:w="2673" w:type="dxa"/>
            <w:tcBorders>
              <w:top w:val="single" w:sz="8" w:space="0" w:color="000000"/>
              <w:left w:val="single" w:sz="8" w:space="0" w:color="000000"/>
              <w:bottom w:val="single" w:sz="6" w:space="0" w:color="000000"/>
              <w:right w:val="single" w:sz="8" w:space="0" w:color="000000"/>
            </w:tcBorders>
            <w:vAlign w:val="center"/>
          </w:tcPr>
          <w:p w14:paraId="4F5962FA" w14:textId="77777777" w:rsidR="00EA216F" w:rsidRDefault="00EA216F" w:rsidP="00EA216F">
            <w:pPr>
              <w:pStyle w:val="biaogeleft"/>
              <w:wordWrap w:val="0"/>
            </w:pPr>
            <w:r>
              <w:rPr>
                <w:rFonts w:hint="eastAsia"/>
              </w:rPr>
              <w:t>基金投资</w:t>
            </w:r>
          </w:p>
        </w:tc>
        <w:tc>
          <w:tcPr>
            <w:tcW w:w="2337" w:type="dxa"/>
            <w:tcBorders>
              <w:top w:val="single" w:sz="8" w:space="0" w:color="000000"/>
              <w:left w:val="single" w:sz="8" w:space="0" w:color="000000"/>
              <w:bottom w:val="single" w:sz="6" w:space="0" w:color="000000"/>
              <w:right w:val="single" w:sz="8" w:space="0" w:color="000000"/>
            </w:tcBorders>
          </w:tcPr>
          <w:p w14:paraId="3336F11B" w14:textId="420FDF6E" w:rsidR="00EA216F" w:rsidRDefault="00EA216F" w:rsidP="00EA216F">
            <w:pPr>
              <w:pStyle w:val="biaogeright"/>
              <w:wordWrap w:val="0"/>
            </w:pPr>
            <w:r w:rsidRPr="002E382F">
              <w:t>-</w:t>
            </w:r>
          </w:p>
        </w:tc>
        <w:tc>
          <w:tcPr>
            <w:tcW w:w="2418" w:type="dxa"/>
            <w:tcBorders>
              <w:top w:val="single" w:sz="8" w:space="0" w:color="000000"/>
              <w:left w:val="single" w:sz="8" w:space="0" w:color="000000"/>
              <w:bottom w:val="single" w:sz="6" w:space="0" w:color="000000"/>
              <w:right w:val="single" w:sz="8" w:space="0" w:color="000000"/>
            </w:tcBorders>
          </w:tcPr>
          <w:p w14:paraId="5DCC5BF1" w14:textId="75FB459E" w:rsidR="00EA216F" w:rsidRDefault="00EA216F" w:rsidP="00EA216F">
            <w:pPr>
              <w:pStyle w:val="biaogeright"/>
              <w:wordWrap w:val="0"/>
            </w:pPr>
            <w:r w:rsidRPr="002E382F">
              <w:t>-</w:t>
            </w:r>
          </w:p>
        </w:tc>
      </w:tr>
      <w:tr w:rsidR="00EA216F" w14:paraId="1C9FABA9"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2E81CA57" w14:textId="77777777" w:rsidR="00EA216F" w:rsidRDefault="00EA216F" w:rsidP="00EA216F">
            <w:pPr>
              <w:pStyle w:val="biaogecenter"/>
              <w:wordWrap w:val="0"/>
            </w:pPr>
            <w:r>
              <w:rPr>
                <w:rFonts w:hAnsi="Calibri" w:hint="eastAsia"/>
                <w:color w:val="000000"/>
              </w:rPr>
              <w:t>3</w:t>
            </w:r>
          </w:p>
        </w:tc>
        <w:tc>
          <w:tcPr>
            <w:tcW w:w="2673" w:type="dxa"/>
            <w:tcBorders>
              <w:top w:val="single" w:sz="8" w:space="0" w:color="000000"/>
              <w:left w:val="single" w:sz="8" w:space="0" w:color="000000"/>
              <w:bottom w:val="single" w:sz="6" w:space="0" w:color="000000"/>
              <w:right w:val="single" w:sz="8" w:space="0" w:color="000000"/>
            </w:tcBorders>
            <w:vAlign w:val="center"/>
          </w:tcPr>
          <w:p w14:paraId="443C3B67" w14:textId="77777777" w:rsidR="00EA216F" w:rsidRDefault="00EA216F" w:rsidP="00EA216F">
            <w:pPr>
              <w:pStyle w:val="biaogeleft"/>
              <w:wordWrap w:val="0"/>
            </w:pPr>
            <w:r>
              <w:rPr>
                <w:rFonts w:hint="eastAsia"/>
              </w:rPr>
              <w:t>固定收益投资</w:t>
            </w:r>
          </w:p>
        </w:tc>
        <w:tc>
          <w:tcPr>
            <w:tcW w:w="2337" w:type="dxa"/>
            <w:tcBorders>
              <w:top w:val="single" w:sz="8" w:space="0" w:color="000000"/>
              <w:left w:val="single" w:sz="8" w:space="0" w:color="000000"/>
              <w:bottom w:val="single" w:sz="6" w:space="0" w:color="000000"/>
              <w:right w:val="single" w:sz="8" w:space="0" w:color="000000"/>
            </w:tcBorders>
          </w:tcPr>
          <w:p w14:paraId="55BFC96A" w14:textId="43AAA341" w:rsidR="00EA216F" w:rsidRDefault="00EA216F" w:rsidP="00EA216F">
            <w:pPr>
              <w:pStyle w:val="biaogeright"/>
              <w:wordWrap w:val="0"/>
            </w:pPr>
            <w:r w:rsidRPr="002E382F">
              <w:t>-</w:t>
            </w:r>
          </w:p>
        </w:tc>
        <w:tc>
          <w:tcPr>
            <w:tcW w:w="2418" w:type="dxa"/>
            <w:tcBorders>
              <w:top w:val="single" w:sz="8" w:space="0" w:color="000000"/>
              <w:left w:val="single" w:sz="8" w:space="0" w:color="000000"/>
              <w:bottom w:val="single" w:sz="6" w:space="0" w:color="000000"/>
              <w:right w:val="single" w:sz="8" w:space="0" w:color="000000"/>
            </w:tcBorders>
          </w:tcPr>
          <w:p w14:paraId="399ED009" w14:textId="0445BAFA" w:rsidR="00EA216F" w:rsidRDefault="00EA216F" w:rsidP="00EA216F">
            <w:pPr>
              <w:pStyle w:val="biaogeright"/>
              <w:wordWrap w:val="0"/>
            </w:pPr>
            <w:r w:rsidRPr="002E382F">
              <w:t>-</w:t>
            </w:r>
          </w:p>
        </w:tc>
      </w:tr>
      <w:tr w:rsidR="00EA216F" w14:paraId="648C5835"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34892353" w14:textId="77777777" w:rsidR="00EA216F" w:rsidRDefault="00EA216F" w:rsidP="00EA216F">
            <w:pPr>
              <w:rPr>
                <w:rFonts w:ascii="宋体" w:hAnsi="宋体" w:cs="宋体"/>
                <w:kern w:val="0"/>
                <w:sz w:val="24"/>
              </w:rPr>
            </w:pPr>
          </w:p>
        </w:tc>
        <w:tc>
          <w:tcPr>
            <w:tcW w:w="2673" w:type="dxa"/>
            <w:tcBorders>
              <w:top w:val="single" w:sz="8" w:space="0" w:color="000000"/>
              <w:left w:val="single" w:sz="8" w:space="0" w:color="000000"/>
              <w:bottom w:val="single" w:sz="6" w:space="0" w:color="000000"/>
              <w:right w:val="single" w:sz="8" w:space="0" w:color="000000"/>
            </w:tcBorders>
            <w:vAlign w:val="center"/>
          </w:tcPr>
          <w:p w14:paraId="0C1CF216" w14:textId="77777777" w:rsidR="00EA216F" w:rsidRDefault="00EA216F" w:rsidP="00EA216F">
            <w:pPr>
              <w:pStyle w:val="biaogeleft"/>
              <w:wordWrap w:val="0"/>
            </w:pPr>
            <w:r>
              <w:rPr>
                <w:rFonts w:hint="eastAsia"/>
              </w:rPr>
              <w:t>其中：债券</w:t>
            </w:r>
          </w:p>
        </w:tc>
        <w:tc>
          <w:tcPr>
            <w:tcW w:w="2337" w:type="dxa"/>
            <w:tcBorders>
              <w:top w:val="single" w:sz="8" w:space="0" w:color="000000"/>
              <w:left w:val="single" w:sz="8" w:space="0" w:color="000000"/>
              <w:bottom w:val="single" w:sz="6" w:space="0" w:color="000000"/>
              <w:right w:val="single" w:sz="8" w:space="0" w:color="000000"/>
            </w:tcBorders>
          </w:tcPr>
          <w:p w14:paraId="4D7FDBAE" w14:textId="0222AB71" w:rsidR="00EA216F" w:rsidRDefault="00EA216F" w:rsidP="00EA216F">
            <w:pPr>
              <w:pStyle w:val="biaogeright"/>
              <w:wordWrap w:val="0"/>
            </w:pPr>
            <w:r w:rsidRPr="002E382F">
              <w:t>-</w:t>
            </w:r>
          </w:p>
        </w:tc>
        <w:tc>
          <w:tcPr>
            <w:tcW w:w="2418" w:type="dxa"/>
            <w:tcBorders>
              <w:top w:val="single" w:sz="8" w:space="0" w:color="000000"/>
              <w:left w:val="single" w:sz="8" w:space="0" w:color="000000"/>
              <w:bottom w:val="single" w:sz="6" w:space="0" w:color="000000"/>
              <w:right w:val="single" w:sz="8" w:space="0" w:color="000000"/>
            </w:tcBorders>
          </w:tcPr>
          <w:p w14:paraId="3D1B8A10" w14:textId="0717BE62" w:rsidR="00EA216F" w:rsidRDefault="00EA216F" w:rsidP="00EA216F">
            <w:pPr>
              <w:pStyle w:val="biaogeright"/>
              <w:wordWrap w:val="0"/>
            </w:pPr>
            <w:r w:rsidRPr="002E382F">
              <w:t>-</w:t>
            </w:r>
          </w:p>
        </w:tc>
      </w:tr>
      <w:tr w:rsidR="00EA216F" w14:paraId="1D7C7C4B"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7720E5A2" w14:textId="77777777" w:rsidR="00EA216F" w:rsidRDefault="00EA216F" w:rsidP="00EA216F">
            <w:pPr>
              <w:rPr>
                <w:rFonts w:ascii="宋体" w:hAnsi="宋体" w:cs="宋体"/>
                <w:kern w:val="0"/>
                <w:sz w:val="24"/>
              </w:rPr>
            </w:pPr>
          </w:p>
        </w:tc>
        <w:tc>
          <w:tcPr>
            <w:tcW w:w="2673" w:type="dxa"/>
            <w:tcBorders>
              <w:top w:val="single" w:sz="8" w:space="0" w:color="000000"/>
              <w:left w:val="single" w:sz="8" w:space="0" w:color="000000"/>
              <w:bottom w:val="single" w:sz="6" w:space="0" w:color="000000"/>
              <w:right w:val="single" w:sz="8" w:space="0" w:color="000000"/>
            </w:tcBorders>
            <w:vAlign w:val="center"/>
          </w:tcPr>
          <w:p w14:paraId="441665C5" w14:textId="77777777" w:rsidR="00EA216F" w:rsidRDefault="00EA216F" w:rsidP="00EA216F">
            <w:pPr>
              <w:pStyle w:val="biaogeleft"/>
              <w:wordWrap w:val="0"/>
              <w:ind w:left="750"/>
            </w:pPr>
            <w:r>
              <w:rPr>
                <w:rFonts w:hint="eastAsia"/>
              </w:rPr>
              <w:t>资产支持证券</w:t>
            </w:r>
          </w:p>
        </w:tc>
        <w:tc>
          <w:tcPr>
            <w:tcW w:w="2337" w:type="dxa"/>
            <w:tcBorders>
              <w:top w:val="single" w:sz="8" w:space="0" w:color="000000"/>
              <w:left w:val="single" w:sz="8" w:space="0" w:color="000000"/>
              <w:bottom w:val="single" w:sz="6" w:space="0" w:color="000000"/>
              <w:right w:val="single" w:sz="8" w:space="0" w:color="000000"/>
            </w:tcBorders>
          </w:tcPr>
          <w:p w14:paraId="2A4B2264" w14:textId="34EF6F26" w:rsidR="00EA216F" w:rsidRDefault="00EA216F" w:rsidP="00EA216F">
            <w:pPr>
              <w:pStyle w:val="biaogeright"/>
              <w:wordWrap w:val="0"/>
            </w:pPr>
            <w:r w:rsidRPr="002E382F">
              <w:t>-</w:t>
            </w:r>
          </w:p>
        </w:tc>
        <w:tc>
          <w:tcPr>
            <w:tcW w:w="2418" w:type="dxa"/>
            <w:tcBorders>
              <w:top w:val="single" w:sz="8" w:space="0" w:color="000000"/>
              <w:left w:val="single" w:sz="8" w:space="0" w:color="000000"/>
              <w:bottom w:val="single" w:sz="6" w:space="0" w:color="000000"/>
              <w:right w:val="single" w:sz="8" w:space="0" w:color="000000"/>
            </w:tcBorders>
          </w:tcPr>
          <w:p w14:paraId="1F73186B" w14:textId="6087E274" w:rsidR="00EA216F" w:rsidRDefault="00EA216F" w:rsidP="00EA216F">
            <w:pPr>
              <w:pStyle w:val="biaogeright"/>
              <w:wordWrap w:val="0"/>
            </w:pPr>
            <w:r w:rsidRPr="002E382F">
              <w:t>-</w:t>
            </w:r>
          </w:p>
        </w:tc>
      </w:tr>
      <w:tr w:rsidR="00EA216F" w14:paraId="36DABB7C"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4BB8FE4C" w14:textId="77777777" w:rsidR="00EA216F" w:rsidRDefault="00EA216F" w:rsidP="00EA216F">
            <w:pPr>
              <w:pStyle w:val="biaogecenter"/>
              <w:wordWrap w:val="0"/>
            </w:pPr>
            <w:r>
              <w:rPr>
                <w:rFonts w:hAnsi="Calibri" w:hint="eastAsia"/>
                <w:color w:val="000000"/>
              </w:rPr>
              <w:t>4</w:t>
            </w:r>
          </w:p>
        </w:tc>
        <w:tc>
          <w:tcPr>
            <w:tcW w:w="0" w:type="auto"/>
            <w:tcBorders>
              <w:top w:val="single" w:sz="8" w:space="0" w:color="000000"/>
              <w:left w:val="single" w:sz="8" w:space="0" w:color="000000"/>
              <w:bottom w:val="single" w:sz="6" w:space="0" w:color="000000"/>
              <w:right w:val="single" w:sz="8" w:space="0" w:color="000000"/>
            </w:tcBorders>
            <w:vAlign w:val="center"/>
          </w:tcPr>
          <w:p w14:paraId="1300742B" w14:textId="77777777" w:rsidR="00EA216F" w:rsidRDefault="00EA216F" w:rsidP="00EA216F">
            <w:pPr>
              <w:pStyle w:val="biaogeleft"/>
              <w:wordWrap w:val="0"/>
            </w:pPr>
            <w:r>
              <w:rPr>
                <w:rFonts w:hint="eastAsia"/>
              </w:rPr>
              <w:t>贵金属投资</w:t>
            </w:r>
          </w:p>
        </w:tc>
        <w:tc>
          <w:tcPr>
            <w:tcW w:w="2337" w:type="dxa"/>
            <w:tcBorders>
              <w:top w:val="single" w:sz="8" w:space="0" w:color="000000"/>
              <w:left w:val="single" w:sz="8" w:space="0" w:color="000000"/>
              <w:bottom w:val="single" w:sz="6" w:space="0" w:color="000000"/>
              <w:right w:val="single" w:sz="8" w:space="0" w:color="000000"/>
            </w:tcBorders>
          </w:tcPr>
          <w:p w14:paraId="13753ED6" w14:textId="58076F0B" w:rsidR="00EA216F" w:rsidRDefault="00EA216F" w:rsidP="00EA216F">
            <w:pPr>
              <w:pStyle w:val="biaogeright"/>
              <w:wordWrap w:val="0"/>
            </w:pPr>
            <w:r w:rsidRPr="002E382F">
              <w:t>-</w:t>
            </w:r>
          </w:p>
        </w:tc>
        <w:tc>
          <w:tcPr>
            <w:tcW w:w="2418" w:type="dxa"/>
            <w:tcBorders>
              <w:top w:val="single" w:sz="8" w:space="0" w:color="000000"/>
              <w:left w:val="single" w:sz="8" w:space="0" w:color="000000"/>
              <w:bottom w:val="single" w:sz="6" w:space="0" w:color="000000"/>
              <w:right w:val="single" w:sz="8" w:space="0" w:color="000000"/>
            </w:tcBorders>
          </w:tcPr>
          <w:p w14:paraId="13F84779" w14:textId="303BD48F" w:rsidR="00EA216F" w:rsidRDefault="00EA216F" w:rsidP="00EA216F">
            <w:pPr>
              <w:pStyle w:val="biaogeright"/>
              <w:wordWrap w:val="0"/>
            </w:pPr>
            <w:r w:rsidRPr="002E382F">
              <w:t>-</w:t>
            </w:r>
          </w:p>
        </w:tc>
      </w:tr>
      <w:tr w:rsidR="00EA216F" w14:paraId="0862402A"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00574550" w14:textId="77777777" w:rsidR="00EA216F" w:rsidRDefault="00EA216F" w:rsidP="00EA216F">
            <w:pPr>
              <w:pStyle w:val="biaogecenter"/>
              <w:wordWrap w:val="0"/>
            </w:pPr>
            <w:r>
              <w:rPr>
                <w:rFonts w:hAnsi="Calibri" w:hint="eastAsia"/>
                <w:color w:val="000000"/>
              </w:rPr>
              <w:t>5</w:t>
            </w:r>
          </w:p>
        </w:tc>
        <w:tc>
          <w:tcPr>
            <w:tcW w:w="2673" w:type="dxa"/>
            <w:tcBorders>
              <w:top w:val="single" w:sz="8" w:space="0" w:color="000000"/>
              <w:left w:val="single" w:sz="8" w:space="0" w:color="000000"/>
              <w:bottom w:val="single" w:sz="6" w:space="0" w:color="000000"/>
              <w:right w:val="single" w:sz="8" w:space="0" w:color="000000"/>
            </w:tcBorders>
            <w:vAlign w:val="center"/>
          </w:tcPr>
          <w:p w14:paraId="2F0AC98F" w14:textId="77777777" w:rsidR="00EA216F" w:rsidRDefault="00EA216F" w:rsidP="00EA216F">
            <w:pPr>
              <w:pStyle w:val="biaogeleft"/>
              <w:wordWrap w:val="0"/>
            </w:pPr>
            <w:r>
              <w:rPr>
                <w:rFonts w:hint="eastAsia"/>
              </w:rPr>
              <w:t>金融衍生</w:t>
            </w:r>
            <w:proofErr w:type="gramStart"/>
            <w:r>
              <w:rPr>
                <w:rFonts w:hint="eastAsia"/>
              </w:rPr>
              <w:t>品投资</w:t>
            </w:r>
            <w:proofErr w:type="gramEnd"/>
          </w:p>
        </w:tc>
        <w:tc>
          <w:tcPr>
            <w:tcW w:w="2337" w:type="dxa"/>
            <w:tcBorders>
              <w:top w:val="single" w:sz="8" w:space="0" w:color="000000"/>
              <w:left w:val="single" w:sz="8" w:space="0" w:color="000000"/>
              <w:bottom w:val="single" w:sz="6" w:space="0" w:color="000000"/>
              <w:right w:val="single" w:sz="8" w:space="0" w:color="000000"/>
            </w:tcBorders>
          </w:tcPr>
          <w:p w14:paraId="4BE32EF8" w14:textId="02564A72" w:rsidR="00EA216F" w:rsidRDefault="00EA216F" w:rsidP="00EA216F">
            <w:pPr>
              <w:pStyle w:val="biaogeright"/>
              <w:wordWrap w:val="0"/>
            </w:pPr>
            <w:r w:rsidRPr="002E382F">
              <w:t>-</w:t>
            </w:r>
          </w:p>
        </w:tc>
        <w:tc>
          <w:tcPr>
            <w:tcW w:w="2418" w:type="dxa"/>
            <w:tcBorders>
              <w:top w:val="single" w:sz="8" w:space="0" w:color="000000"/>
              <w:left w:val="single" w:sz="8" w:space="0" w:color="000000"/>
              <w:bottom w:val="single" w:sz="6" w:space="0" w:color="000000"/>
              <w:right w:val="single" w:sz="8" w:space="0" w:color="000000"/>
            </w:tcBorders>
          </w:tcPr>
          <w:p w14:paraId="658DB4E9" w14:textId="43729862" w:rsidR="00EA216F" w:rsidRDefault="00EA216F" w:rsidP="00EA216F">
            <w:pPr>
              <w:pStyle w:val="biaogeright"/>
              <w:wordWrap w:val="0"/>
            </w:pPr>
            <w:r w:rsidRPr="002E382F">
              <w:t>-</w:t>
            </w:r>
          </w:p>
        </w:tc>
      </w:tr>
      <w:tr w:rsidR="00EA216F" w14:paraId="14791651"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3C4445DA" w14:textId="77777777" w:rsidR="00EA216F" w:rsidRDefault="00EA216F" w:rsidP="00EA216F">
            <w:pPr>
              <w:pStyle w:val="biaogecenter"/>
              <w:wordWrap w:val="0"/>
            </w:pPr>
            <w:r>
              <w:rPr>
                <w:rFonts w:hAnsi="Calibri" w:hint="eastAsia"/>
                <w:color w:val="000000"/>
              </w:rPr>
              <w:t>6</w:t>
            </w:r>
          </w:p>
        </w:tc>
        <w:tc>
          <w:tcPr>
            <w:tcW w:w="2673" w:type="dxa"/>
            <w:tcBorders>
              <w:top w:val="single" w:sz="8" w:space="0" w:color="000000"/>
              <w:left w:val="single" w:sz="8" w:space="0" w:color="000000"/>
              <w:bottom w:val="single" w:sz="6" w:space="0" w:color="000000"/>
              <w:right w:val="single" w:sz="8" w:space="0" w:color="000000"/>
            </w:tcBorders>
            <w:vAlign w:val="center"/>
          </w:tcPr>
          <w:p w14:paraId="223897AF" w14:textId="77777777" w:rsidR="00EA216F" w:rsidRDefault="00EA216F" w:rsidP="00EA216F">
            <w:pPr>
              <w:pStyle w:val="biaogeleft"/>
              <w:wordWrap w:val="0"/>
            </w:pPr>
            <w:r>
              <w:rPr>
                <w:rFonts w:hint="eastAsia"/>
              </w:rPr>
              <w:t>买入返售金融资产</w:t>
            </w:r>
          </w:p>
        </w:tc>
        <w:tc>
          <w:tcPr>
            <w:tcW w:w="2337" w:type="dxa"/>
            <w:tcBorders>
              <w:top w:val="single" w:sz="8" w:space="0" w:color="000000"/>
              <w:left w:val="single" w:sz="8" w:space="0" w:color="000000"/>
              <w:bottom w:val="single" w:sz="6" w:space="0" w:color="000000"/>
              <w:right w:val="single" w:sz="8" w:space="0" w:color="000000"/>
            </w:tcBorders>
          </w:tcPr>
          <w:p w14:paraId="701FE618" w14:textId="1E4CBE73" w:rsidR="00EA216F" w:rsidRDefault="00EA216F" w:rsidP="00EA216F">
            <w:pPr>
              <w:pStyle w:val="biaogeright"/>
              <w:wordWrap w:val="0"/>
            </w:pPr>
            <w:r w:rsidRPr="002E382F">
              <w:t>110,403,104.02</w:t>
            </w:r>
          </w:p>
        </w:tc>
        <w:tc>
          <w:tcPr>
            <w:tcW w:w="2418" w:type="dxa"/>
            <w:tcBorders>
              <w:top w:val="single" w:sz="8" w:space="0" w:color="000000"/>
              <w:left w:val="single" w:sz="8" w:space="0" w:color="000000"/>
              <w:bottom w:val="single" w:sz="6" w:space="0" w:color="000000"/>
              <w:right w:val="single" w:sz="8" w:space="0" w:color="000000"/>
            </w:tcBorders>
          </w:tcPr>
          <w:p w14:paraId="12CB188A" w14:textId="0132F9E7" w:rsidR="00EA216F" w:rsidRDefault="00EA216F" w:rsidP="00EA216F">
            <w:pPr>
              <w:pStyle w:val="biaogeright"/>
              <w:wordWrap w:val="0"/>
            </w:pPr>
            <w:r w:rsidRPr="002E382F">
              <w:t>5.89</w:t>
            </w:r>
          </w:p>
        </w:tc>
      </w:tr>
      <w:tr w:rsidR="00EA216F" w14:paraId="52BBBA8B"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0459CD0A" w14:textId="77777777" w:rsidR="00EA216F" w:rsidRDefault="00EA216F" w:rsidP="00EA216F">
            <w:pPr>
              <w:rPr>
                <w:rFonts w:ascii="宋体" w:hAnsi="宋体" w:cs="宋体"/>
                <w:kern w:val="0"/>
                <w:sz w:val="24"/>
              </w:rPr>
            </w:pPr>
          </w:p>
        </w:tc>
        <w:tc>
          <w:tcPr>
            <w:tcW w:w="2673" w:type="dxa"/>
            <w:tcBorders>
              <w:top w:val="single" w:sz="8" w:space="0" w:color="000000"/>
              <w:left w:val="single" w:sz="8" w:space="0" w:color="000000"/>
              <w:bottom w:val="single" w:sz="6" w:space="0" w:color="000000"/>
              <w:right w:val="single" w:sz="8" w:space="0" w:color="000000"/>
            </w:tcBorders>
            <w:vAlign w:val="center"/>
          </w:tcPr>
          <w:p w14:paraId="041BA12C" w14:textId="77777777" w:rsidR="00EA216F" w:rsidRDefault="00EA216F" w:rsidP="00EA216F">
            <w:pPr>
              <w:pStyle w:val="biaogeleft"/>
              <w:wordWrap w:val="0"/>
            </w:pPr>
            <w:r>
              <w:rPr>
                <w:rFonts w:hint="eastAsia"/>
              </w:rPr>
              <w:t>其中：买断式回购的买入返售金融资产</w:t>
            </w:r>
          </w:p>
        </w:tc>
        <w:tc>
          <w:tcPr>
            <w:tcW w:w="2337" w:type="dxa"/>
            <w:tcBorders>
              <w:top w:val="single" w:sz="8" w:space="0" w:color="000000"/>
              <w:left w:val="single" w:sz="8" w:space="0" w:color="000000"/>
              <w:bottom w:val="single" w:sz="6" w:space="0" w:color="000000"/>
              <w:right w:val="single" w:sz="8" w:space="0" w:color="000000"/>
            </w:tcBorders>
          </w:tcPr>
          <w:p w14:paraId="3302D2BA" w14:textId="1BA9C845" w:rsidR="00EA216F" w:rsidRDefault="00EA216F" w:rsidP="00EA216F">
            <w:pPr>
              <w:pStyle w:val="biaogeright"/>
              <w:wordWrap w:val="0"/>
            </w:pPr>
            <w:r w:rsidRPr="002E382F">
              <w:t>-</w:t>
            </w:r>
          </w:p>
        </w:tc>
        <w:tc>
          <w:tcPr>
            <w:tcW w:w="2418" w:type="dxa"/>
            <w:tcBorders>
              <w:top w:val="single" w:sz="8" w:space="0" w:color="000000"/>
              <w:left w:val="single" w:sz="8" w:space="0" w:color="000000"/>
              <w:bottom w:val="single" w:sz="6" w:space="0" w:color="000000"/>
              <w:right w:val="single" w:sz="8" w:space="0" w:color="000000"/>
            </w:tcBorders>
          </w:tcPr>
          <w:p w14:paraId="0E5AF6D3" w14:textId="5B74BF21" w:rsidR="00EA216F" w:rsidRDefault="00EA216F" w:rsidP="00EA216F">
            <w:pPr>
              <w:pStyle w:val="biaogeright"/>
              <w:wordWrap w:val="0"/>
            </w:pPr>
            <w:r w:rsidRPr="002E382F">
              <w:t>-</w:t>
            </w:r>
          </w:p>
        </w:tc>
      </w:tr>
      <w:tr w:rsidR="00EA216F" w14:paraId="316A938D"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06F041B0" w14:textId="77777777" w:rsidR="00EA216F" w:rsidRDefault="00EA216F" w:rsidP="00EA216F">
            <w:pPr>
              <w:pStyle w:val="biaogecenter"/>
              <w:wordWrap w:val="0"/>
            </w:pPr>
            <w:r>
              <w:rPr>
                <w:rFonts w:hAnsi="Calibri" w:hint="eastAsia"/>
                <w:color w:val="000000"/>
              </w:rPr>
              <w:t>7</w:t>
            </w:r>
          </w:p>
        </w:tc>
        <w:tc>
          <w:tcPr>
            <w:tcW w:w="2673" w:type="dxa"/>
            <w:tcBorders>
              <w:top w:val="single" w:sz="8" w:space="0" w:color="000000"/>
              <w:left w:val="single" w:sz="8" w:space="0" w:color="000000"/>
              <w:bottom w:val="single" w:sz="6" w:space="0" w:color="000000"/>
              <w:right w:val="single" w:sz="8" w:space="0" w:color="000000"/>
            </w:tcBorders>
            <w:vAlign w:val="center"/>
          </w:tcPr>
          <w:p w14:paraId="4A14B296" w14:textId="77777777" w:rsidR="00EA216F" w:rsidRDefault="00EA216F" w:rsidP="00EA216F">
            <w:pPr>
              <w:pStyle w:val="biaogeleft"/>
              <w:wordWrap w:val="0"/>
            </w:pPr>
            <w:r>
              <w:rPr>
                <w:rFonts w:hint="eastAsia"/>
              </w:rPr>
              <w:t>银行存款和结算备付金合计</w:t>
            </w:r>
          </w:p>
        </w:tc>
        <w:tc>
          <w:tcPr>
            <w:tcW w:w="2337" w:type="dxa"/>
            <w:tcBorders>
              <w:top w:val="single" w:sz="8" w:space="0" w:color="000000"/>
              <w:left w:val="single" w:sz="8" w:space="0" w:color="000000"/>
              <w:bottom w:val="single" w:sz="6" w:space="0" w:color="000000"/>
              <w:right w:val="single" w:sz="8" w:space="0" w:color="000000"/>
            </w:tcBorders>
          </w:tcPr>
          <w:p w14:paraId="1714006F" w14:textId="28D545F2" w:rsidR="00EA216F" w:rsidRDefault="00EA216F" w:rsidP="00EA216F">
            <w:pPr>
              <w:pStyle w:val="biaogeright"/>
              <w:wordWrap w:val="0"/>
            </w:pPr>
            <w:r w:rsidRPr="002E382F">
              <w:t>117,667,233.82</w:t>
            </w:r>
          </w:p>
        </w:tc>
        <w:tc>
          <w:tcPr>
            <w:tcW w:w="2418" w:type="dxa"/>
            <w:tcBorders>
              <w:top w:val="single" w:sz="8" w:space="0" w:color="000000"/>
              <w:left w:val="single" w:sz="8" w:space="0" w:color="000000"/>
              <w:bottom w:val="single" w:sz="6" w:space="0" w:color="000000"/>
              <w:right w:val="single" w:sz="8" w:space="0" w:color="000000"/>
            </w:tcBorders>
          </w:tcPr>
          <w:p w14:paraId="756150ED" w14:textId="18E914C1" w:rsidR="00EA216F" w:rsidRDefault="00EA216F" w:rsidP="00EA216F">
            <w:pPr>
              <w:pStyle w:val="biaogeright"/>
              <w:wordWrap w:val="0"/>
            </w:pPr>
            <w:r w:rsidRPr="002E382F">
              <w:t>6.28</w:t>
            </w:r>
          </w:p>
        </w:tc>
      </w:tr>
      <w:tr w:rsidR="00EA216F" w14:paraId="6DE80698"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60AB6103" w14:textId="77777777" w:rsidR="00EA216F" w:rsidRDefault="00EA216F" w:rsidP="00EA216F">
            <w:pPr>
              <w:pStyle w:val="biaogecenter"/>
              <w:wordWrap w:val="0"/>
            </w:pPr>
            <w:r>
              <w:rPr>
                <w:rFonts w:hAnsi="Calibri" w:hint="eastAsia"/>
                <w:color w:val="000000"/>
              </w:rPr>
              <w:t>8</w:t>
            </w:r>
          </w:p>
        </w:tc>
        <w:tc>
          <w:tcPr>
            <w:tcW w:w="2673" w:type="dxa"/>
            <w:tcBorders>
              <w:top w:val="single" w:sz="8" w:space="0" w:color="000000"/>
              <w:left w:val="single" w:sz="8" w:space="0" w:color="000000"/>
              <w:bottom w:val="single" w:sz="6" w:space="0" w:color="000000"/>
              <w:right w:val="single" w:sz="8" w:space="0" w:color="000000"/>
            </w:tcBorders>
            <w:vAlign w:val="center"/>
          </w:tcPr>
          <w:p w14:paraId="29B5934C" w14:textId="77777777" w:rsidR="00EA216F" w:rsidRDefault="00EA216F" w:rsidP="00EA216F">
            <w:pPr>
              <w:pStyle w:val="biaogeleft"/>
              <w:wordWrap w:val="0"/>
            </w:pPr>
            <w:r>
              <w:rPr>
                <w:rFonts w:hint="eastAsia"/>
              </w:rPr>
              <w:t>其他资产</w:t>
            </w:r>
          </w:p>
        </w:tc>
        <w:tc>
          <w:tcPr>
            <w:tcW w:w="2337" w:type="dxa"/>
            <w:tcBorders>
              <w:top w:val="single" w:sz="8" w:space="0" w:color="000000"/>
              <w:left w:val="single" w:sz="8" w:space="0" w:color="000000"/>
              <w:bottom w:val="single" w:sz="6" w:space="0" w:color="000000"/>
              <w:right w:val="single" w:sz="8" w:space="0" w:color="000000"/>
            </w:tcBorders>
          </w:tcPr>
          <w:p w14:paraId="35E090F8" w14:textId="40CE00A9" w:rsidR="00EA216F" w:rsidRDefault="00EA216F" w:rsidP="00EA216F">
            <w:pPr>
              <w:pStyle w:val="biaogeright"/>
              <w:wordWrap w:val="0"/>
            </w:pPr>
            <w:r w:rsidRPr="002E382F">
              <w:t>23,538,554.52</w:t>
            </w:r>
          </w:p>
        </w:tc>
        <w:tc>
          <w:tcPr>
            <w:tcW w:w="2418" w:type="dxa"/>
            <w:tcBorders>
              <w:top w:val="single" w:sz="8" w:space="0" w:color="000000"/>
              <w:left w:val="single" w:sz="8" w:space="0" w:color="000000"/>
              <w:bottom w:val="single" w:sz="6" w:space="0" w:color="000000"/>
              <w:right w:val="single" w:sz="8" w:space="0" w:color="000000"/>
            </w:tcBorders>
          </w:tcPr>
          <w:p w14:paraId="03264314" w14:textId="39FC3759" w:rsidR="00EA216F" w:rsidRDefault="00EA216F" w:rsidP="00EA216F">
            <w:pPr>
              <w:pStyle w:val="biaogeright"/>
              <w:wordWrap w:val="0"/>
            </w:pPr>
            <w:r w:rsidRPr="002E382F">
              <w:t>1.26</w:t>
            </w:r>
          </w:p>
        </w:tc>
      </w:tr>
      <w:tr w:rsidR="00EA216F" w14:paraId="66C8702C" w14:textId="77777777" w:rsidTr="00F94CAE">
        <w:tc>
          <w:tcPr>
            <w:tcW w:w="0" w:type="auto"/>
            <w:tcBorders>
              <w:top w:val="single" w:sz="8" w:space="0" w:color="000000"/>
              <w:left w:val="single" w:sz="8" w:space="0" w:color="000000"/>
              <w:bottom w:val="single" w:sz="6" w:space="0" w:color="000000"/>
              <w:right w:val="single" w:sz="8" w:space="0" w:color="000000"/>
            </w:tcBorders>
            <w:vAlign w:val="center"/>
          </w:tcPr>
          <w:p w14:paraId="7951D520" w14:textId="77777777" w:rsidR="00EA216F" w:rsidRDefault="00EA216F" w:rsidP="00EA216F">
            <w:pPr>
              <w:pStyle w:val="biaogecenter"/>
              <w:wordWrap w:val="0"/>
            </w:pPr>
            <w:r>
              <w:rPr>
                <w:rFonts w:hint="eastAsia"/>
              </w:rPr>
              <w:t>9</w:t>
            </w:r>
          </w:p>
        </w:tc>
        <w:tc>
          <w:tcPr>
            <w:tcW w:w="2673" w:type="dxa"/>
            <w:tcBorders>
              <w:top w:val="single" w:sz="8" w:space="0" w:color="000000"/>
              <w:left w:val="single" w:sz="8" w:space="0" w:color="000000"/>
              <w:bottom w:val="single" w:sz="6" w:space="0" w:color="000000"/>
              <w:right w:val="single" w:sz="8" w:space="0" w:color="000000"/>
            </w:tcBorders>
            <w:vAlign w:val="center"/>
          </w:tcPr>
          <w:p w14:paraId="536A30B9" w14:textId="77777777" w:rsidR="00EA216F" w:rsidRDefault="00EA216F" w:rsidP="00EA216F">
            <w:pPr>
              <w:pStyle w:val="biaogeleft"/>
              <w:wordWrap w:val="0"/>
            </w:pPr>
            <w:r>
              <w:rPr>
                <w:rFonts w:hint="eastAsia"/>
              </w:rPr>
              <w:t>合计</w:t>
            </w:r>
          </w:p>
        </w:tc>
        <w:tc>
          <w:tcPr>
            <w:tcW w:w="2337" w:type="dxa"/>
            <w:tcBorders>
              <w:top w:val="single" w:sz="8" w:space="0" w:color="000000"/>
              <w:left w:val="single" w:sz="8" w:space="0" w:color="000000"/>
              <w:bottom w:val="single" w:sz="6" w:space="0" w:color="000000"/>
              <w:right w:val="single" w:sz="8" w:space="0" w:color="000000"/>
            </w:tcBorders>
          </w:tcPr>
          <w:p w14:paraId="2BDC0C0A" w14:textId="1BE43703" w:rsidR="00EA216F" w:rsidRDefault="00EA216F" w:rsidP="00EA216F">
            <w:pPr>
              <w:pStyle w:val="biaogeright"/>
              <w:wordWrap w:val="0"/>
            </w:pPr>
            <w:r w:rsidRPr="002E382F">
              <w:t>1,873,449,579.18</w:t>
            </w:r>
          </w:p>
        </w:tc>
        <w:tc>
          <w:tcPr>
            <w:tcW w:w="2418" w:type="dxa"/>
            <w:tcBorders>
              <w:top w:val="single" w:sz="8" w:space="0" w:color="000000"/>
              <w:left w:val="single" w:sz="8" w:space="0" w:color="000000"/>
              <w:bottom w:val="single" w:sz="6" w:space="0" w:color="000000"/>
              <w:right w:val="single" w:sz="8" w:space="0" w:color="000000"/>
            </w:tcBorders>
          </w:tcPr>
          <w:p w14:paraId="33C6A583" w14:textId="1D1F343A" w:rsidR="00EA216F" w:rsidRDefault="00EA216F" w:rsidP="00EA216F">
            <w:pPr>
              <w:pStyle w:val="biaogeright"/>
              <w:wordWrap w:val="0"/>
            </w:pPr>
            <w:r w:rsidRPr="002E382F">
              <w:t>100.00</w:t>
            </w:r>
          </w:p>
        </w:tc>
      </w:tr>
    </w:tbl>
    <w:p w14:paraId="3284432B" w14:textId="3CD997F2" w:rsidR="008A6127" w:rsidRDefault="00437D9F">
      <w:pPr>
        <w:pStyle w:val="neirong"/>
      </w:pPr>
      <w:r>
        <w:rPr>
          <w:rFonts w:hint="eastAsia"/>
        </w:rPr>
        <w:t>注：</w:t>
      </w:r>
      <w:r w:rsidR="00EA216F" w:rsidRPr="00EA216F">
        <w:rPr>
          <w:rFonts w:hint="eastAsia"/>
        </w:rPr>
        <w:t>权益投资中港股</w:t>
      </w:r>
      <w:proofErr w:type="gramStart"/>
      <w:r w:rsidR="00EA216F" w:rsidRPr="00EA216F">
        <w:rPr>
          <w:rFonts w:hint="eastAsia"/>
        </w:rPr>
        <w:t>通股票</w:t>
      </w:r>
      <w:proofErr w:type="gramEnd"/>
      <w:r w:rsidR="00EA216F" w:rsidRPr="00EA216F">
        <w:rPr>
          <w:rFonts w:hint="eastAsia"/>
        </w:rPr>
        <w:t>公允价值为598,986,827.23元，占基金资产净值比例32.57%。</w:t>
      </w:r>
    </w:p>
    <w:p w14:paraId="171193C7" w14:textId="77777777" w:rsidR="008A6127" w:rsidRDefault="008A6127">
      <w:pPr>
        <w:snapToGrid w:val="0"/>
        <w:spacing w:line="360" w:lineRule="auto"/>
        <w:ind w:firstLineChars="200" w:firstLine="480"/>
        <w:rPr>
          <w:rFonts w:ascii="宋体" w:hAnsi="宋体"/>
          <w:sz w:val="24"/>
        </w:rPr>
      </w:pPr>
    </w:p>
    <w:p w14:paraId="185EF3E4"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、报告期末按行业分类的股票投资组合</w:t>
      </w:r>
    </w:p>
    <w:p w14:paraId="0DBF26F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（1）报告期末按行业分类的境内股票投资组合</w:t>
      </w:r>
    </w:p>
    <w:tbl>
      <w:tblPr>
        <w:tblW w:w="0" w:type="auto"/>
        <w:tblInd w:w="216" w:type="dxa"/>
        <w:tblLook w:val="04A0" w:firstRow="1" w:lastRow="0" w:firstColumn="1" w:lastColumn="0" w:noHBand="0" w:noVBand="1"/>
      </w:tblPr>
      <w:tblGrid>
        <w:gridCol w:w="995"/>
        <w:gridCol w:w="2338"/>
        <w:gridCol w:w="2328"/>
        <w:gridCol w:w="2409"/>
      </w:tblGrid>
      <w:tr w:rsidR="008A6127" w14:paraId="46CAF00C" w14:textId="77777777">
        <w:tc>
          <w:tcPr>
            <w:tcW w:w="995" w:type="dxa"/>
            <w:tcBorders>
              <w:top w:val="single" w:sz="8" w:space="0" w:color="000000"/>
              <w:left w:val="single" w:sz="8" w:space="0" w:color="000000"/>
              <w:bottom w:val="single" w:sz="6" w:space="0" w:color="000000"/>
              <w:right w:val="single" w:sz="8" w:space="0" w:color="000000"/>
            </w:tcBorders>
            <w:vAlign w:val="center"/>
          </w:tcPr>
          <w:p w14:paraId="79463029" w14:textId="77777777" w:rsidR="008A6127" w:rsidRDefault="00437D9F">
            <w:pPr>
              <w:pStyle w:val="biaogecenter"/>
            </w:pPr>
            <w:r>
              <w:rPr>
                <w:rFonts w:hAnsi="Calibri" w:hint="eastAsia"/>
                <w:color w:val="000000"/>
              </w:rPr>
              <w:t>代码</w:t>
            </w:r>
          </w:p>
        </w:tc>
        <w:tc>
          <w:tcPr>
            <w:tcW w:w="2338" w:type="dxa"/>
            <w:tcBorders>
              <w:top w:val="single" w:sz="8" w:space="0" w:color="000000"/>
              <w:left w:val="single" w:sz="8" w:space="0" w:color="000000"/>
              <w:bottom w:val="single" w:sz="6" w:space="0" w:color="000000"/>
              <w:right w:val="single" w:sz="8" w:space="0" w:color="000000"/>
            </w:tcBorders>
            <w:vAlign w:val="center"/>
          </w:tcPr>
          <w:p w14:paraId="14B286B7" w14:textId="77777777" w:rsidR="008A6127" w:rsidRDefault="00437D9F">
            <w:pPr>
              <w:pStyle w:val="biaogecenter"/>
              <w:wordWrap w:val="0"/>
              <w:ind w:left="0"/>
            </w:pPr>
            <w:r>
              <w:rPr>
                <w:rFonts w:hAnsi="Calibri" w:hint="eastAsia"/>
                <w:color w:val="000000"/>
              </w:rPr>
              <w:t>行业类别</w:t>
            </w:r>
          </w:p>
        </w:tc>
        <w:tc>
          <w:tcPr>
            <w:tcW w:w="2328" w:type="dxa"/>
            <w:tcBorders>
              <w:top w:val="single" w:sz="8" w:space="0" w:color="000000"/>
              <w:left w:val="single" w:sz="8" w:space="0" w:color="000000"/>
              <w:bottom w:val="single" w:sz="6" w:space="0" w:color="000000"/>
              <w:right w:val="single" w:sz="8" w:space="0" w:color="000000"/>
            </w:tcBorders>
            <w:vAlign w:val="center"/>
          </w:tcPr>
          <w:p w14:paraId="1FE6CAA9" w14:textId="77777777" w:rsidR="008A6127" w:rsidRDefault="00437D9F">
            <w:pPr>
              <w:pStyle w:val="biaogecenter"/>
              <w:wordWrap w:val="0"/>
              <w:ind w:left="0"/>
            </w:pPr>
            <w:r>
              <w:rPr>
                <w:rFonts w:hAnsi="Calibri" w:hint="eastAsia"/>
                <w:color w:val="000000"/>
              </w:rPr>
              <w:t>公允价值(元)</w:t>
            </w:r>
          </w:p>
        </w:tc>
        <w:tc>
          <w:tcPr>
            <w:tcW w:w="2409" w:type="dxa"/>
            <w:tcBorders>
              <w:top w:val="single" w:sz="8" w:space="0" w:color="000000"/>
              <w:left w:val="single" w:sz="8" w:space="0" w:color="000000"/>
              <w:bottom w:val="single" w:sz="6" w:space="0" w:color="000000"/>
              <w:right w:val="single" w:sz="8" w:space="0" w:color="000000"/>
            </w:tcBorders>
            <w:vAlign w:val="center"/>
          </w:tcPr>
          <w:p w14:paraId="73F9875D" w14:textId="77777777" w:rsidR="008A6127" w:rsidRDefault="00437D9F">
            <w:pPr>
              <w:pStyle w:val="biaogecenter"/>
              <w:wordWrap w:val="0"/>
              <w:ind w:left="0"/>
            </w:pPr>
            <w:r>
              <w:rPr>
                <w:rFonts w:hAnsi="Calibri" w:hint="eastAsia"/>
                <w:color w:val="000000"/>
              </w:rPr>
              <w:t>占基金资产净值比例（%）</w:t>
            </w:r>
          </w:p>
        </w:tc>
      </w:tr>
      <w:tr w:rsidR="00EA216F" w14:paraId="08DCCC42"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7267E089" w14:textId="77777777" w:rsidR="00EA216F" w:rsidRDefault="00EA216F" w:rsidP="00EA216F">
            <w:pPr>
              <w:pStyle w:val="biaogecenter"/>
              <w:wordWrap w:val="0"/>
              <w:ind w:firstLine="480"/>
            </w:pPr>
            <w:r>
              <w:rPr>
                <w:rFonts w:hint="eastAsia"/>
              </w:rPr>
              <w:t>A</w:t>
            </w:r>
          </w:p>
        </w:tc>
        <w:tc>
          <w:tcPr>
            <w:tcW w:w="2338" w:type="dxa"/>
            <w:tcBorders>
              <w:top w:val="single" w:sz="8" w:space="0" w:color="000000"/>
              <w:left w:val="single" w:sz="8" w:space="0" w:color="000000"/>
              <w:bottom w:val="single" w:sz="6" w:space="0" w:color="000000"/>
              <w:right w:val="single" w:sz="8" w:space="0" w:color="000000"/>
            </w:tcBorders>
          </w:tcPr>
          <w:p w14:paraId="161DE25B" w14:textId="6C1A0F84" w:rsidR="00EA216F" w:rsidRDefault="00EA216F" w:rsidP="00EA216F">
            <w:pPr>
              <w:pStyle w:val="biaogeleft"/>
              <w:wordWrap w:val="0"/>
            </w:pPr>
            <w:r w:rsidRPr="008A72CA">
              <w:rPr>
                <w:rFonts w:hint="eastAsia"/>
              </w:rPr>
              <w:t>农、林、牧、渔业</w:t>
            </w:r>
          </w:p>
        </w:tc>
        <w:tc>
          <w:tcPr>
            <w:tcW w:w="2328" w:type="dxa"/>
            <w:tcBorders>
              <w:top w:val="single" w:sz="8" w:space="0" w:color="000000"/>
              <w:left w:val="single" w:sz="8" w:space="0" w:color="000000"/>
              <w:bottom w:val="single" w:sz="6" w:space="0" w:color="000000"/>
              <w:right w:val="single" w:sz="8" w:space="0" w:color="000000"/>
            </w:tcBorders>
          </w:tcPr>
          <w:p w14:paraId="138176D5" w14:textId="02A705F2"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68B87E93" w14:textId="5C9BBF06" w:rsidR="00EA216F" w:rsidRDefault="00EA216F" w:rsidP="00EA216F">
            <w:pPr>
              <w:pStyle w:val="biaogeright"/>
              <w:wordWrap w:val="0"/>
            </w:pPr>
            <w:r w:rsidRPr="00D06258">
              <w:t>-</w:t>
            </w:r>
          </w:p>
        </w:tc>
      </w:tr>
      <w:tr w:rsidR="00EA216F" w14:paraId="3BF32CEE"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1994C750" w14:textId="77777777" w:rsidR="00EA216F" w:rsidRDefault="00EA216F" w:rsidP="00EA216F">
            <w:pPr>
              <w:pStyle w:val="biaogecenter"/>
              <w:wordWrap w:val="0"/>
              <w:ind w:firstLine="480"/>
            </w:pPr>
            <w:r>
              <w:rPr>
                <w:rFonts w:hint="eastAsia"/>
              </w:rPr>
              <w:t>B</w:t>
            </w:r>
          </w:p>
        </w:tc>
        <w:tc>
          <w:tcPr>
            <w:tcW w:w="2338" w:type="dxa"/>
            <w:tcBorders>
              <w:top w:val="single" w:sz="8" w:space="0" w:color="000000"/>
              <w:left w:val="single" w:sz="8" w:space="0" w:color="000000"/>
              <w:bottom w:val="single" w:sz="6" w:space="0" w:color="000000"/>
              <w:right w:val="single" w:sz="8" w:space="0" w:color="000000"/>
            </w:tcBorders>
          </w:tcPr>
          <w:p w14:paraId="7BAEF88A" w14:textId="678B1E5E" w:rsidR="00EA216F" w:rsidRDefault="00EA216F" w:rsidP="00EA216F">
            <w:pPr>
              <w:pStyle w:val="biaogeleft"/>
              <w:wordWrap w:val="0"/>
            </w:pPr>
            <w:r w:rsidRPr="008A72CA">
              <w:rPr>
                <w:rFonts w:hint="eastAsia"/>
              </w:rPr>
              <w:t>采矿业</w:t>
            </w:r>
          </w:p>
        </w:tc>
        <w:tc>
          <w:tcPr>
            <w:tcW w:w="2328" w:type="dxa"/>
            <w:tcBorders>
              <w:top w:val="single" w:sz="8" w:space="0" w:color="000000"/>
              <w:left w:val="single" w:sz="8" w:space="0" w:color="000000"/>
              <w:bottom w:val="single" w:sz="6" w:space="0" w:color="000000"/>
              <w:right w:val="single" w:sz="8" w:space="0" w:color="000000"/>
            </w:tcBorders>
          </w:tcPr>
          <w:p w14:paraId="0281B3FB" w14:textId="5DFC262B" w:rsidR="00EA216F" w:rsidRDefault="00EA216F" w:rsidP="00EA216F">
            <w:pPr>
              <w:pStyle w:val="biaogeright"/>
              <w:wordWrap w:val="0"/>
            </w:pPr>
            <w:r w:rsidRPr="00D06258">
              <w:t>80,913,189.00</w:t>
            </w:r>
          </w:p>
        </w:tc>
        <w:tc>
          <w:tcPr>
            <w:tcW w:w="2409" w:type="dxa"/>
            <w:tcBorders>
              <w:top w:val="single" w:sz="8" w:space="0" w:color="000000"/>
              <w:left w:val="single" w:sz="8" w:space="0" w:color="000000"/>
              <w:bottom w:val="single" w:sz="6" w:space="0" w:color="000000"/>
              <w:right w:val="single" w:sz="8" w:space="0" w:color="000000"/>
            </w:tcBorders>
          </w:tcPr>
          <w:p w14:paraId="44E262C0" w14:textId="2D511A10" w:rsidR="00EA216F" w:rsidRDefault="00EA216F" w:rsidP="00EA216F">
            <w:pPr>
              <w:pStyle w:val="biaogeright"/>
              <w:wordWrap w:val="0"/>
            </w:pPr>
            <w:r w:rsidRPr="00D06258">
              <w:t>4.40</w:t>
            </w:r>
          </w:p>
        </w:tc>
      </w:tr>
      <w:tr w:rsidR="00EA216F" w14:paraId="0D1BAEC9"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7B0F7462" w14:textId="77777777" w:rsidR="00EA216F" w:rsidRDefault="00EA216F" w:rsidP="00EA216F">
            <w:pPr>
              <w:pStyle w:val="biaogecenter"/>
              <w:wordWrap w:val="0"/>
              <w:ind w:firstLine="480"/>
            </w:pPr>
            <w:r>
              <w:rPr>
                <w:rFonts w:hint="eastAsia"/>
              </w:rPr>
              <w:t>C</w:t>
            </w:r>
          </w:p>
        </w:tc>
        <w:tc>
          <w:tcPr>
            <w:tcW w:w="2338" w:type="dxa"/>
            <w:tcBorders>
              <w:top w:val="single" w:sz="8" w:space="0" w:color="000000"/>
              <w:left w:val="single" w:sz="8" w:space="0" w:color="000000"/>
              <w:bottom w:val="single" w:sz="6" w:space="0" w:color="000000"/>
              <w:right w:val="single" w:sz="8" w:space="0" w:color="000000"/>
            </w:tcBorders>
          </w:tcPr>
          <w:p w14:paraId="1AF0D036" w14:textId="120A1150" w:rsidR="00EA216F" w:rsidRDefault="00EA216F" w:rsidP="00EA216F">
            <w:pPr>
              <w:pStyle w:val="biaogeleft"/>
              <w:wordWrap w:val="0"/>
            </w:pPr>
            <w:r w:rsidRPr="008A72CA">
              <w:rPr>
                <w:rFonts w:hint="eastAsia"/>
              </w:rPr>
              <w:t>制造业</w:t>
            </w:r>
          </w:p>
        </w:tc>
        <w:tc>
          <w:tcPr>
            <w:tcW w:w="2328" w:type="dxa"/>
            <w:tcBorders>
              <w:top w:val="single" w:sz="8" w:space="0" w:color="000000"/>
              <w:left w:val="single" w:sz="8" w:space="0" w:color="000000"/>
              <w:bottom w:val="single" w:sz="6" w:space="0" w:color="000000"/>
              <w:right w:val="single" w:sz="8" w:space="0" w:color="000000"/>
            </w:tcBorders>
          </w:tcPr>
          <w:p w14:paraId="23705DCB" w14:textId="1B619482" w:rsidR="00EA216F" w:rsidRDefault="00EA216F" w:rsidP="00EA216F">
            <w:pPr>
              <w:pStyle w:val="biaogeright"/>
              <w:wordWrap w:val="0"/>
            </w:pPr>
            <w:r w:rsidRPr="00D06258">
              <w:t>936,983,624.94</w:t>
            </w:r>
          </w:p>
        </w:tc>
        <w:tc>
          <w:tcPr>
            <w:tcW w:w="2409" w:type="dxa"/>
            <w:tcBorders>
              <w:top w:val="single" w:sz="8" w:space="0" w:color="000000"/>
              <w:left w:val="single" w:sz="8" w:space="0" w:color="000000"/>
              <w:bottom w:val="single" w:sz="6" w:space="0" w:color="000000"/>
              <w:right w:val="single" w:sz="8" w:space="0" w:color="000000"/>
            </w:tcBorders>
          </w:tcPr>
          <w:p w14:paraId="28CAF4BD" w14:textId="098AF7A7" w:rsidR="00EA216F" w:rsidRDefault="00EA216F" w:rsidP="00EA216F">
            <w:pPr>
              <w:pStyle w:val="biaogeright"/>
              <w:wordWrap w:val="0"/>
            </w:pPr>
            <w:r w:rsidRPr="00D06258">
              <w:t>50.95</w:t>
            </w:r>
          </w:p>
        </w:tc>
      </w:tr>
      <w:tr w:rsidR="00EA216F" w14:paraId="4EBEC97F"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7A0D0A5E" w14:textId="77777777" w:rsidR="00EA216F" w:rsidRDefault="00EA216F" w:rsidP="00EA216F">
            <w:pPr>
              <w:pStyle w:val="biaogecenter"/>
              <w:wordWrap w:val="0"/>
              <w:ind w:firstLine="480"/>
            </w:pPr>
            <w:r>
              <w:rPr>
                <w:rFonts w:hAnsi="Calibri" w:hint="eastAsia"/>
                <w:color w:val="000000"/>
              </w:rPr>
              <w:t>D</w:t>
            </w:r>
          </w:p>
        </w:tc>
        <w:tc>
          <w:tcPr>
            <w:tcW w:w="2338" w:type="dxa"/>
            <w:tcBorders>
              <w:top w:val="single" w:sz="8" w:space="0" w:color="000000"/>
              <w:left w:val="single" w:sz="8" w:space="0" w:color="000000"/>
              <w:bottom w:val="single" w:sz="6" w:space="0" w:color="000000"/>
              <w:right w:val="single" w:sz="8" w:space="0" w:color="000000"/>
            </w:tcBorders>
          </w:tcPr>
          <w:p w14:paraId="61539E93" w14:textId="4A854A17" w:rsidR="00EA216F" w:rsidRDefault="00EA216F" w:rsidP="00EA216F">
            <w:pPr>
              <w:pStyle w:val="biaogeleft"/>
              <w:wordWrap w:val="0"/>
            </w:pPr>
            <w:r w:rsidRPr="008A72CA">
              <w:rPr>
                <w:rFonts w:hint="eastAsia"/>
              </w:rPr>
              <w:t>电力、热力、燃气及水生产和供应业</w:t>
            </w:r>
          </w:p>
        </w:tc>
        <w:tc>
          <w:tcPr>
            <w:tcW w:w="2328" w:type="dxa"/>
            <w:tcBorders>
              <w:top w:val="single" w:sz="8" w:space="0" w:color="000000"/>
              <w:left w:val="single" w:sz="8" w:space="0" w:color="000000"/>
              <w:bottom w:val="single" w:sz="6" w:space="0" w:color="000000"/>
              <w:right w:val="single" w:sz="8" w:space="0" w:color="000000"/>
            </w:tcBorders>
          </w:tcPr>
          <w:p w14:paraId="5FF752EE" w14:textId="334B6C87"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2E355306" w14:textId="6F8F4CFC" w:rsidR="00EA216F" w:rsidRDefault="00EA216F" w:rsidP="00EA216F">
            <w:pPr>
              <w:pStyle w:val="biaogeright"/>
              <w:wordWrap w:val="0"/>
            </w:pPr>
            <w:r w:rsidRPr="00D06258">
              <w:t>-</w:t>
            </w:r>
          </w:p>
        </w:tc>
      </w:tr>
      <w:tr w:rsidR="00EA216F" w14:paraId="52C2877F"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0844EF72" w14:textId="77777777" w:rsidR="00EA216F" w:rsidRDefault="00EA216F" w:rsidP="00EA216F">
            <w:pPr>
              <w:pStyle w:val="biaogecenter"/>
              <w:wordWrap w:val="0"/>
              <w:ind w:firstLine="480"/>
            </w:pPr>
            <w:r>
              <w:rPr>
                <w:rFonts w:hint="eastAsia"/>
              </w:rPr>
              <w:t>E</w:t>
            </w:r>
          </w:p>
        </w:tc>
        <w:tc>
          <w:tcPr>
            <w:tcW w:w="2338" w:type="dxa"/>
            <w:tcBorders>
              <w:top w:val="single" w:sz="8" w:space="0" w:color="000000"/>
              <w:left w:val="single" w:sz="8" w:space="0" w:color="000000"/>
              <w:bottom w:val="single" w:sz="6" w:space="0" w:color="000000"/>
              <w:right w:val="single" w:sz="8" w:space="0" w:color="000000"/>
            </w:tcBorders>
          </w:tcPr>
          <w:p w14:paraId="57A2A7E1" w14:textId="46CB6887" w:rsidR="00EA216F" w:rsidRDefault="00EA216F" w:rsidP="00EA216F">
            <w:pPr>
              <w:pStyle w:val="biaogeleft"/>
              <w:wordWrap w:val="0"/>
            </w:pPr>
            <w:r w:rsidRPr="008A72CA">
              <w:rPr>
                <w:rFonts w:hint="eastAsia"/>
              </w:rPr>
              <w:t>建筑业</w:t>
            </w:r>
          </w:p>
        </w:tc>
        <w:tc>
          <w:tcPr>
            <w:tcW w:w="2328" w:type="dxa"/>
            <w:tcBorders>
              <w:top w:val="single" w:sz="8" w:space="0" w:color="000000"/>
              <w:left w:val="single" w:sz="8" w:space="0" w:color="000000"/>
              <w:bottom w:val="single" w:sz="6" w:space="0" w:color="000000"/>
              <w:right w:val="single" w:sz="8" w:space="0" w:color="000000"/>
            </w:tcBorders>
          </w:tcPr>
          <w:p w14:paraId="160F36D0" w14:textId="6789467F" w:rsidR="00EA216F" w:rsidRDefault="00EA216F" w:rsidP="00EA216F">
            <w:pPr>
              <w:pStyle w:val="biaogeright"/>
              <w:wordWrap w:val="0"/>
            </w:pPr>
            <w:r w:rsidRPr="00D06258">
              <w:t>1,174,215.00</w:t>
            </w:r>
          </w:p>
        </w:tc>
        <w:tc>
          <w:tcPr>
            <w:tcW w:w="2409" w:type="dxa"/>
            <w:tcBorders>
              <w:top w:val="single" w:sz="8" w:space="0" w:color="000000"/>
              <w:left w:val="single" w:sz="8" w:space="0" w:color="000000"/>
              <w:bottom w:val="single" w:sz="6" w:space="0" w:color="000000"/>
              <w:right w:val="single" w:sz="8" w:space="0" w:color="000000"/>
            </w:tcBorders>
          </w:tcPr>
          <w:p w14:paraId="60B67565" w14:textId="18626628" w:rsidR="00EA216F" w:rsidRDefault="00EA216F" w:rsidP="00EA216F">
            <w:pPr>
              <w:pStyle w:val="biaogeright"/>
              <w:wordWrap w:val="0"/>
            </w:pPr>
            <w:r w:rsidRPr="00D06258">
              <w:t>0.06</w:t>
            </w:r>
          </w:p>
        </w:tc>
      </w:tr>
      <w:tr w:rsidR="00EA216F" w14:paraId="472AE58C"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0BD4EAE2" w14:textId="77777777" w:rsidR="00EA216F" w:rsidRDefault="00EA216F" w:rsidP="00EA216F">
            <w:pPr>
              <w:pStyle w:val="biaogecenter"/>
              <w:wordWrap w:val="0"/>
              <w:ind w:firstLine="480"/>
            </w:pPr>
            <w:r>
              <w:rPr>
                <w:rFonts w:hAnsi="Calibri" w:hint="eastAsia"/>
                <w:color w:val="000000"/>
              </w:rPr>
              <w:t>F</w:t>
            </w:r>
          </w:p>
        </w:tc>
        <w:tc>
          <w:tcPr>
            <w:tcW w:w="2338" w:type="dxa"/>
            <w:tcBorders>
              <w:top w:val="single" w:sz="8" w:space="0" w:color="000000"/>
              <w:left w:val="single" w:sz="8" w:space="0" w:color="000000"/>
              <w:bottom w:val="single" w:sz="6" w:space="0" w:color="000000"/>
              <w:right w:val="single" w:sz="8" w:space="0" w:color="000000"/>
            </w:tcBorders>
          </w:tcPr>
          <w:p w14:paraId="0243881E" w14:textId="2CA93612" w:rsidR="00EA216F" w:rsidRDefault="00EA216F" w:rsidP="00EA216F">
            <w:pPr>
              <w:pStyle w:val="biaogeleft"/>
              <w:wordWrap w:val="0"/>
            </w:pPr>
            <w:r w:rsidRPr="008A72CA">
              <w:rPr>
                <w:rFonts w:hint="eastAsia"/>
              </w:rPr>
              <w:t>批发和零售业</w:t>
            </w:r>
          </w:p>
        </w:tc>
        <w:tc>
          <w:tcPr>
            <w:tcW w:w="2328" w:type="dxa"/>
            <w:tcBorders>
              <w:top w:val="single" w:sz="8" w:space="0" w:color="000000"/>
              <w:left w:val="single" w:sz="8" w:space="0" w:color="000000"/>
              <w:bottom w:val="single" w:sz="6" w:space="0" w:color="000000"/>
              <w:right w:val="single" w:sz="8" w:space="0" w:color="000000"/>
            </w:tcBorders>
          </w:tcPr>
          <w:p w14:paraId="73C99A39" w14:textId="11F5D537"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182E66D0" w14:textId="1F0159CD" w:rsidR="00EA216F" w:rsidRDefault="00EA216F" w:rsidP="00EA216F">
            <w:pPr>
              <w:pStyle w:val="biaogeright"/>
              <w:wordWrap w:val="0"/>
            </w:pPr>
            <w:r w:rsidRPr="00D06258">
              <w:t>-</w:t>
            </w:r>
          </w:p>
        </w:tc>
      </w:tr>
      <w:tr w:rsidR="00EA216F" w14:paraId="25069C9F"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53B4F73D" w14:textId="77777777" w:rsidR="00EA216F" w:rsidRDefault="00EA216F" w:rsidP="00EA216F">
            <w:pPr>
              <w:pStyle w:val="biaogecenter"/>
              <w:wordWrap w:val="0"/>
              <w:ind w:firstLine="480"/>
            </w:pPr>
            <w:r>
              <w:rPr>
                <w:rFonts w:hAnsi="Calibri" w:hint="eastAsia"/>
                <w:color w:val="000000"/>
              </w:rPr>
              <w:t>G</w:t>
            </w:r>
          </w:p>
        </w:tc>
        <w:tc>
          <w:tcPr>
            <w:tcW w:w="2338" w:type="dxa"/>
            <w:tcBorders>
              <w:top w:val="single" w:sz="8" w:space="0" w:color="000000"/>
              <w:left w:val="single" w:sz="8" w:space="0" w:color="000000"/>
              <w:bottom w:val="single" w:sz="6" w:space="0" w:color="000000"/>
              <w:right w:val="single" w:sz="8" w:space="0" w:color="000000"/>
            </w:tcBorders>
          </w:tcPr>
          <w:p w14:paraId="607DAEA8" w14:textId="09E73BCF" w:rsidR="00EA216F" w:rsidRDefault="00EA216F" w:rsidP="00EA216F">
            <w:pPr>
              <w:pStyle w:val="biaogeleft"/>
              <w:wordWrap w:val="0"/>
            </w:pPr>
            <w:r w:rsidRPr="008A72CA">
              <w:rPr>
                <w:rFonts w:hint="eastAsia"/>
              </w:rPr>
              <w:t>交通运输、仓储和邮政业</w:t>
            </w:r>
          </w:p>
        </w:tc>
        <w:tc>
          <w:tcPr>
            <w:tcW w:w="2328" w:type="dxa"/>
            <w:tcBorders>
              <w:top w:val="single" w:sz="8" w:space="0" w:color="000000"/>
              <w:left w:val="single" w:sz="8" w:space="0" w:color="000000"/>
              <w:bottom w:val="single" w:sz="6" w:space="0" w:color="000000"/>
              <w:right w:val="single" w:sz="8" w:space="0" w:color="000000"/>
            </w:tcBorders>
          </w:tcPr>
          <w:p w14:paraId="50A25885" w14:textId="11DED781"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7F2AB8F5" w14:textId="2CFE3506" w:rsidR="00EA216F" w:rsidRDefault="00EA216F" w:rsidP="00EA216F">
            <w:pPr>
              <w:pStyle w:val="biaogeright"/>
              <w:wordWrap w:val="0"/>
            </w:pPr>
            <w:r w:rsidRPr="00D06258">
              <w:t>-</w:t>
            </w:r>
          </w:p>
        </w:tc>
      </w:tr>
      <w:tr w:rsidR="00EA216F" w14:paraId="6D61EC0F"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09B33EEE" w14:textId="77777777" w:rsidR="00EA216F" w:rsidRDefault="00EA216F" w:rsidP="00EA216F">
            <w:pPr>
              <w:pStyle w:val="biaogecenter"/>
              <w:wordWrap w:val="0"/>
              <w:ind w:firstLine="480"/>
            </w:pPr>
            <w:r>
              <w:rPr>
                <w:rFonts w:hAnsi="Calibri" w:hint="eastAsia"/>
                <w:color w:val="000000"/>
              </w:rPr>
              <w:t>H</w:t>
            </w:r>
          </w:p>
        </w:tc>
        <w:tc>
          <w:tcPr>
            <w:tcW w:w="2338" w:type="dxa"/>
            <w:tcBorders>
              <w:top w:val="single" w:sz="8" w:space="0" w:color="000000"/>
              <w:left w:val="single" w:sz="8" w:space="0" w:color="000000"/>
              <w:bottom w:val="single" w:sz="6" w:space="0" w:color="000000"/>
              <w:right w:val="single" w:sz="8" w:space="0" w:color="000000"/>
            </w:tcBorders>
          </w:tcPr>
          <w:p w14:paraId="3C81E8A8" w14:textId="549951FE" w:rsidR="00EA216F" w:rsidRDefault="00EA216F" w:rsidP="00EA216F">
            <w:pPr>
              <w:pStyle w:val="biaogeleft"/>
              <w:wordWrap w:val="0"/>
            </w:pPr>
            <w:r w:rsidRPr="008A72CA">
              <w:rPr>
                <w:rFonts w:hint="eastAsia"/>
              </w:rPr>
              <w:t>住宿和餐饮业</w:t>
            </w:r>
          </w:p>
        </w:tc>
        <w:tc>
          <w:tcPr>
            <w:tcW w:w="2328" w:type="dxa"/>
            <w:tcBorders>
              <w:top w:val="single" w:sz="8" w:space="0" w:color="000000"/>
              <w:left w:val="single" w:sz="8" w:space="0" w:color="000000"/>
              <w:bottom w:val="single" w:sz="6" w:space="0" w:color="000000"/>
              <w:right w:val="single" w:sz="8" w:space="0" w:color="000000"/>
            </w:tcBorders>
          </w:tcPr>
          <w:p w14:paraId="5EC757B6" w14:textId="2F44F3C2"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207CC36D" w14:textId="03482562" w:rsidR="00EA216F" w:rsidRDefault="00EA216F" w:rsidP="00EA216F">
            <w:pPr>
              <w:pStyle w:val="biaogeright"/>
              <w:wordWrap w:val="0"/>
            </w:pPr>
            <w:r w:rsidRPr="00D06258">
              <w:t>-</w:t>
            </w:r>
          </w:p>
        </w:tc>
      </w:tr>
      <w:tr w:rsidR="00EA216F" w14:paraId="67F88BC5"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60A9F5E1" w14:textId="77777777" w:rsidR="00EA216F" w:rsidRDefault="00EA216F" w:rsidP="00EA216F">
            <w:pPr>
              <w:pStyle w:val="biaogecenter"/>
              <w:wordWrap w:val="0"/>
              <w:ind w:firstLine="480"/>
            </w:pPr>
            <w:r>
              <w:rPr>
                <w:rFonts w:hAnsi="Calibri" w:hint="eastAsia"/>
                <w:color w:val="000000"/>
              </w:rPr>
              <w:t>I</w:t>
            </w:r>
          </w:p>
        </w:tc>
        <w:tc>
          <w:tcPr>
            <w:tcW w:w="2338" w:type="dxa"/>
            <w:tcBorders>
              <w:top w:val="single" w:sz="8" w:space="0" w:color="000000"/>
              <w:left w:val="single" w:sz="8" w:space="0" w:color="000000"/>
              <w:bottom w:val="single" w:sz="6" w:space="0" w:color="000000"/>
              <w:right w:val="single" w:sz="8" w:space="0" w:color="000000"/>
            </w:tcBorders>
          </w:tcPr>
          <w:p w14:paraId="734AB172" w14:textId="547A1118" w:rsidR="00EA216F" w:rsidRDefault="00EA216F" w:rsidP="00EA216F">
            <w:pPr>
              <w:pStyle w:val="biaogeleft"/>
              <w:wordWrap w:val="0"/>
            </w:pPr>
            <w:r w:rsidRPr="008A72CA">
              <w:rPr>
                <w:rFonts w:hint="eastAsia"/>
              </w:rPr>
              <w:t>信息传输、软件和信息技术服务业</w:t>
            </w:r>
          </w:p>
        </w:tc>
        <w:tc>
          <w:tcPr>
            <w:tcW w:w="2328" w:type="dxa"/>
            <w:tcBorders>
              <w:top w:val="single" w:sz="8" w:space="0" w:color="000000"/>
              <w:left w:val="single" w:sz="8" w:space="0" w:color="000000"/>
              <w:bottom w:val="single" w:sz="6" w:space="0" w:color="000000"/>
              <w:right w:val="single" w:sz="8" w:space="0" w:color="000000"/>
            </w:tcBorders>
          </w:tcPr>
          <w:p w14:paraId="13865429" w14:textId="01CED428" w:rsidR="00EA216F" w:rsidRDefault="00EA216F" w:rsidP="00EA216F">
            <w:pPr>
              <w:pStyle w:val="biaogeright"/>
              <w:wordWrap w:val="0"/>
            </w:pPr>
            <w:r w:rsidRPr="00D06258">
              <w:t>3,782,830.65</w:t>
            </w:r>
          </w:p>
        </w:tc>
        <w:tc>
          <w:tcPr>
            <w:tcW w:w="2409" w:type="dxa"/>
            <w:tcBorders>
              <w:top w:val="single" w:sz="8" w:space="0" w:color="000000"/>
              <w:left w:val="single" w:sz="8" w:space="0" w:color="000000"/>
              <w:bottom w:val="single" w:sz="6" w:space="0" w:color="000000"/>
              <w:right w:val="single" w:sz="8" w:space="0" w:color="000000"/>
            </w:tcBorders>
          </w:tcPr>
          <w:p w14:paraId="2357522F" w14:textId="76ADB4CF" w:rsidR="00EA216F" w:rsidRDefault="00EA216F" w:rsidP="00EA216F">
            <w:pPr>
              <w:pStyle w:val="biaogeright"/>
              <w:wordWrap w:val="0"/>
            </w:pPr>
            <w:r w:rsidRPr="00D06258">
              <w:t>0.21</w:t>
            </w:r>
          </w:p>
        </w:tc>
      </w:tr>
      <w:tr w:rsidR="00EA216F" w14:paraId="68BD2884"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4516F555" w14:textId="77777777" w:rsidR="00EA216F" w:rsidRDefault="00EA216F" w:rsidP="00EA216F">
            <w:pPr>
              <w:pStyle w:val="biaogecenter"/>
              <w:wordWrap w:val="0"/>
              <w:ind w:firstLine="480"/>
            </w:pPr>
            <w:r>
              <w:rPr>
                <w:rFonts w:hAnsi="Calibri" w:hint="eastAsia"/>
                <w:color w:val="000000"/>
              </w:rPr>
              <w:t>J</w:t>
            </w:r>
          </w:p>
        </w:tc>
        <w:tc>
          <w:tcPr>
            <w:tcW w:w="2338" w:type="dxa"/>
            <w:tcBorders>
              <w:top w:val="single" w:sz="8" w:space="0" w:color="000000"/>
              <w:left w:val="single" w:sz="8" w:space="0" w:color="000000"/>
              <w:bottom w:val="single" w:sz="6" w:space="0" w:color="000000"/>
              <w:right w:val="single" w:sz="8" w:space="0" w:color="000000"/>
            </w:tcBorders>
          </w:tcPr>
          <w:p w14:paraId="1CCEA5E2" w14:textId="34257D4A" w:rsidR="00EA216F" w:rsidRDefault="00EA216F" w:rsidP="00EA216F">
            <w:pPr>
              <w:pStyle w:val="biaogeleft"/>
              <w:wordWrap w:val="0"/>
            </w:pPr>
            <w:r w:rsidRPr="008A72CA">
              <w:rPr>
                <w:rFonts w:hint="eastAsia"/>
              </w:rPr>
              <w:t>金融业</w:t>
            </w:r>
          </w:p>
        </w:tc>
        <w:tc>
          <w:tcPr>
            <w:tcW w:w="2328" w:type="dxa"/>
            <w:tcBorders>
              <w:top w:val="single" w:sz="8" w:space="0" w:color="000000"/>
              <w:left w:val="single" w:sz="8" w:space="0" w:color="000000"/>
              <w:bottom w:val="single" w:sz="6" w:space="0" w:color="000000"/>
              <w:right w:val="single" w:sz="8" w:space="0" w:color="000000"/>
            </w:tcBorders>
          </w:tcPr>
          <w:p w14:paraId="3EBE8713" w14:textId="00FE5578"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2E50B1AE" w14:textId="38219A8F" w:rsidR="00EA216F" w:rsidRDefault="00EA216F" w:rsidP="00EA216F">
            <w:pPr>
              <w:pStyle w:val="biaogeright"/>
              <w:wordWrap w:val="0"/>
            </w:pPr>
            <w:r w:rsidRPr="00D06258">
              <w:t>-</w:t>
            </w:r>
          </w:p>
        </w:tc>
      </w:tr>
      <w:tr w:rsidR="00EA216F" w14:paraId="5F8916EE"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3BC834A8" w14:textId="77777777" w:rsidR="00EA216F" w:rsidRDefault="00EA216F" w:rsidP="00EA216F">
            <w:pPr>
              <w:pStyle w:val="biaogecenter"/>
              <w:wordWrap w:val="0"/>
              <w:ind w:firstLine="480"/>
            </w:pPr>
            <w:r>
              <w:rPr>
                <w:rFonts w:hAnsi="Calibri" w:hint="eastAsia"/>
                <w:color w:val="000000"/>
              </w:rPr>
              <w:t>K</w:t>
            </w:r>
          </w:p>
        </w:tc>
        <w:tc>
          <w:tcPr>
            <w:tcW w:w="2338" w:type="dxa"/>
            <w:tcBorders>
              <w:top w:val="single" w:sz="8" w:space="0" w:color="000000"/>
              <w:left w:val="single" w:sz="8" w:space="0" w:color="000000"/>
              <w:bottom w:val="single" w:sz="6" w:space="0" w:color="000000"/>
              <w:right w:val="single" w:sz="8" w:space="0" w:color="000000"/>
            </w:tcBorders>
          </w:tcPr>
          <w:p w14:paraId="0A98EFAB" w14:textId="0C06E9EE" w:rsidR="00EA216F" w:rsidRDefault="00EA216F" w:rsidP="00EA216F">
            <w:pPr>
              <w:pStyle w:val="biaogeleft"/>
              <w:wordWrap w:val="0"/>
            </w:pPr>
            <w:r w:rsidRPr="008A72CA">
              <w:rPr>
                <w:rFonts w:hint="eastAsia"/>
              </w:rPr>
              <w:t>房地产业</w:t>
            </w:r>
          </w:p>
        </w:tc>
        <w:tc>
          <w:tcPr>
            <w:tcW w:w="2328" w:type="dxa"/>
            <w:tcBorders>
              <w:top w:val="single" w:sz="8" w:space="0" w:color="000000"/>
              <w:left w:val="single" w:sz="8" w:space="0" w:color="000000"/>
              <w:bottom w:val="single" w:sz="6" w:space="0" w:color="000000"/>
              <w:right w:val="single" w:sz="8" w:space="0" w:color="000000"/>
            </w:tcBorders>
          </w:tcPr>
          <w:p w14:paraId="282F3669" w14:textId="7C33421A"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364711F8" w14:textId="557BE92A" w:rsidR="00EA216F" w:rsidRDefault="00EA216F" w:rsidP="00EA216F">
            <w:pPr>
              <w:pStyle w:val="biaogeright"/>
              <w:wordWrap w:val="0"/>
            </w:pPr>
            <w:r w:rsidRPr="00D06258">
              <w:t>-</w:t>
            </w:r>
          </w:p>
        </w:tc>
      </w:tr>
      <w:tr w:rsidR="00EA216F" w14:paraId="5E2315BB"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29419F60" w14:textId="77777777" w:rsidR="00EA216F" w:rsidRDefault="00EA216F" w:rsidP="00EA216F">
            <w:pPr>
              <w:pStyle w:val="biaogecenter"/>
              <w:wordWrap w:val="0"/>
              <w:ind w:firstLine="480"/>
            </w:pPr>
            <w:r>
              <w:rPr>
                <w:rFonts w:hAnsi="Calibri" w:hint="eastAsia"/>
                <w:color w:val="000000"/>
              </w:rPr>
              <w:t>L</w:t>
            </w:r>
          </w:p>
        </w:tc>
        <w:tc>
          <w:tcPr>
            <w:tcW w:w="2338" w:type="dxa"/>
            <w:tcBorders>
              <w:top w:val="single" w:sz="8" w:space="0" w:color="000000"/>
              <w:left w:val="single" w:sz="8" w:space="0" w:color="000000"/>
              <w:bottom w:val="single" w:sz="6" w:space="0" w:color="000000"/>
              <w:right w:val="single" w:sz="8" w:space="0" w:color="000000"/>
            </w:tcBorders>
          </w:tcPr>
          <w:p w14:paraId="558BE377" w14:textId="4DC179E3" w:rsidR="00EA216F" w:rsidRDefault="00EA216F" w:rsidP="00EA216F">
            <w:pPr>
              <w:pStyle w:val="biaogeleft"/>
              <w:wordWrap w:val="0"/>
            </w:pPr>
            <w:r w:rsidRPr="008A72CA">
              <w:rPr>
                <w:rFonts w:hint="eastAsia"/>
              </w:rPr>
              <w:t>租赁和商务服务业</w:t>
            </w:r>
          </w:p>
        </w:tc>
        <w:tc>
          <w:tcPr>
            <w:tcW w:w="2328" w:type="dxa"/>
            <w:tcBorders>
              <w:top w:val="single" w:sz="8" w:space="0" w:color="000000"/>
              <w:left w:val="single" w:sz="8" w:space="0" w:color="000000"/>
              <w:bottom w:val="single" w:sz="6" w:space="0" w:color="000000"/>
              <w:right w:val="single" w:sz="8" w:space="0" w:color="000000"/>
            </w:tcBorders>
          </w:tcPr>
          <w:p w14:paraId="72A231E8" w14:textId="0DACC4B5"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53617DC7" w14:textId="3802FC11" w:rsidR="00EA216F" w:rsidRDefault="00EA216F" w:rsidP="00EA216F">
            <w:pPr>
              <w:pStyle w:val="biaogeright"/>
              <w:wordWrap w:val="0"/>
            </w:pPr>
            <w:r w:rsidRPr="00D06258">
              <w:t>-</w:t>
            </w:r>
          </w:p>
        </w:tc>
      </w:tr>
      <w:tr w:rsidR="00EA216F" w14:paraId="0D1BB10F"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030589FE" w14:textId="77777777" w:rsidR="00EA216F" w:rsidRDefault="00EA216F" w:rsidP="00EA216F">
            <w:pPr>
              <w:pStyle w:val="biaogecenter"/>
              <w:wordWrap w:val="0"/>
              <w:ind w:firstLine="480"/>
            </w:pPr>
            <w:r>
              <w:rPr>
                <w:rFonts w:hAnsi="Calibri" w:hint="eastAsia"/>
                <w:color w:val="000000"/>
              </w:rPr>
              <w:lastRenderedPageBreak/>
              <w:t>M</w:t>
            </w:r>
          </w:p>
        </w:tc>
        <w:tc>
          <w:tcPr>
            <w:tcW w:w="2338" w:type="dxa"/>
            <w:tcBorders>
              <w:top w:val="single" w:sz="8" w:space="0" w:color="000000"/>
              <w:left w:val="single" w:sz="8" w:space="0" w:color="000000"/>
              <w:bottom w:val="single" w:sz="6" w:space="0" w:color="000000"/>
              <w:right w:val="single" w:sz="8" w:space="0" w:color="000000"/>
            </w:tcBorders>
          </w:tcPr>
          <w:p w14:paraId="068B8DB3" w14:textId="4F5168C5" w:rsidR="00EA216F" w:rsidRDefault="00EA216F" w:rsidP="00EA216F">
            <w:pPr>
              <w:pStyle w:val="biaogeleft"/>
              <w:wordWrap w:val="0"/>
            </w:pPr>
            <w:r w:rsidRPr="008A72CA">
              <w:rPr>
                <w:rFonts w:hint="eastAsia"/>
              </w:rPr>
              <w:t>科学研究和技术服务业</w:t>
            </w:r>
          </w:p>
        </w:tc>
        <w:tc>
          <w:tcPr>
            <w:tcW w:w="2328" w:type="dxa"/>
            <w:tcBorders>
              <w:top w:val="single" w:sz="8" w:space="0" w:color="000000"/>
              <w:left w:val="single" w:sz="8" w:space="0" w:color="000000"/>
              <w:bottom w:val="single" w:sz="6" w:space="0" w:color="000000"/>
              <w:right w:val="single" w:sz="8" w:space="0" w:color="000000"/>
            </w:tcBorders>
          </w:tcPr>
          <w:p w14:paraId="32C7B6E4" w14:textId="658CE75F"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32C00F67" w14:textId="6995277D" w:rsidR="00EA216F" w:rsidRDefault="00EA216F" w:rsidP="00EA216F">
            <w:pPr>
              <w:pStyle w:val="biaogeright"/>
              <w:wordWrap w:val="0"/>
            </w:pPr>
            <w:r w:rsidRPr="00D06258">
              <w:t>-</w:t>
            </w:r>
          </w:p>
        </w:tc>
      </w:tr>
      <w:tr w:rsidR="00EA216F" w14:paraId="0493B86A"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7A6444FB" w14:textId="77777777" w:rsidR="00EA216F" w:rsidRDefault="00EA216F" w:rsidP="00EA216F">
            <w:pPr>
              <w:pStyle w:val="biaogecenter"/>
              <w:wordWrap w:val="0"/>
              <w:ind w:firstLine="480"/>
            </w:pPr>
            <w:r>
              <w:rPr>
                <w:rFonts w:hAnsi="Calibri" w:hint="eastAsia"/>
                <w:color w:val="000000"/>
              </w:rPr>
              <w:t>N</w:t>
            </w:r>
          </w:p>
        </w:tc>
        <w:tc>
          <w:tcPr>
            <w:tcW w:w="2338" w:type="dxa"/>
            <w:tcBorders>
              <w:top w:val="single" w:sz="8" w:space="0" w:color="000000"/>
              <w:left w:val="single" w:sz="8" w:space="0" w:color="000000"/>
              <w:bottom w:val="single" w:sz="6" w:space="0" w:color="000000"/>
              <w:right w:val="single" w:sz="8" w:space="0" w:color="000000"/>
            </w:tcBorders>
          </w:tcPr>
          <w:p w14:paraId="73B7400A" w14:textId="5B4DF785" w:rsidR="00EA216F" w:rsidRDefault="00EA216F" w:rsidP="00EA216F">
            <w:pPr>
              <w:pStyle w:val="biaogeleft"/>
              <w:wordWrap w:val="0"/>
            </w:pPr>
            <w:r w:rsidRPr="008A72CA">
              <w:rPr>
                <w:rFonts w:hint="eastAsia"/>
              </w:rPr>
              <w:t>水利、环境和公共设施管理业</w:t>
            </w:r>
          </w:p>
        </w:tc>
        <w:tc>
          <w:tcPr>
            <w:tcW w:w="2328" w:type="dxa"/>
            <w:tcBorders>
              <w:top w:val="single" w:sz="8" w:space="0" w:color="000000"/>
              <w:left w:val="single" w:sz="8" w:space="0" w:color="000000"/>
              <w:bottom w:val="single" w:sz="6" w:space="0" w:color="000000"/>
              <w:right w:val="single" w:sz="8" w:space="0" w:color="000000"/>
            </w:tcBorders>
          </w:tcPr>
          <w:p w14:paraId="5820A29D" w14:textId="1A18C98B"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770B38EC" w14:textId="43F898E3" w:rsidR="00EA216F" w:rsidRDefault="00EA216F" w:rsidP="00EA216F">
            <w:pPr>
              <w:pStyle w:val="biaogeright"/>
              <w:wordWrap w:val="0"/>
            </w:pPr>
            <w:r w:rsidRPr="00D06258">
              <w:t>-</w:t>
            </w:r>
          </w:p>
        </w:tc>
      </w:tr>
      <w:tr w:rsidR="00EA216F" w14:paraId="0206441C"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32166598" w14:textId="77777777" w:rsidR="00EA216F" w:rsidRDefault="00EA216F" w:rsidP="00EA216F">
            <w:pPr>
              <w:pStyle w:val="biaogecenter"/>
              <w:wordWrap w:val="0"/>
              <w:ind w:firstLine="480"/>
            </w:pPr>
            <w:r>
              <w:rPr>
                <w:rFonts w:hAnsi="Calibri" w:hint="eastAsia"/>
                <w:color w:val="000000"/>
              </w:rPr>
              <w:t>O</w:t>
            </w:r>
          </w:p>
        </w:tc>
        <w:tc>
          <w:tcPr>
            <w:tcW w:w="2338" w:type="dxa"/>
            <w:tcBorders>
              <w:top w:val="single" w:sz="8" w:space="0" w:color="000000"/>
              <w:left w:val="single" w:sz="8" w:space="0" w:color="000000"/>
              <w:bottom w:val="single" w:sz="6" w:space="0" w:color="000000"/>
              <w:right w:val="single" w:sz="8" w:space="0" w:color="000000"/>
            </w:tcBorders>
          </w:tcPr>
          <w:p w14:paraId="20443CB5" w14:textId="76F8ED6F" w:rsidR="00EA216F" w:rsidRDefault="00EA216F" w:rsidP="00EA216F">
            <w:pPr>
              <w:pStyle w:val="biaogeleft"/>
              <w:wordWrap w:val="0"/>
            </w:pPr>
            <w:r w:rsidRPr="008A72CA">
              <w:rPr>
                <w:rFonts w:hint="eastAsia"/>
              </w:rPr>
              <w:t>居民服务、修理和其他服务业</w:t>
            </w:r>
          </w:p>
        </w:tc>
        <w:tc>
          <w:tcPr>
            <w:tcW w:w="2328" w:type="dxa"/>
            <w:tcBorders>
              <w:top w:val="single" w:sz="8" w:space="0" w:color="000000"/>
              <w:left w:val="single" w:sz="8" w:space="0" w:color="000000"/>
              <w:bottom w:val="single" w:sz="6" w:space="0" w:color="000000"/>
              <w:right w:val="single" w:sz="8" w:space="0" w:color="000000"/>
            </w:tcBorders>
          </w:tcPr>
          <w:p w14:paraId="74D99FFA" w14:textId="330E0991"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5BDB2AD0" w14:textId="3C91D5FE" w:rsidR="00EA216F" w:rsidRDefault="00EA216F" w:rsidP="00EA216F">
            <w:pPr>
              <w:pStyle w:val="biaogeright"/>
              <w:wordWrap w:val="0"/>
            </w:pPr>
            <w:r w:rsidRPr="00D06258">
              <w:t>-</w:t>
            </w:r>
          </w:p>
        </w:tc>
      </w:tr>
      <w:tr w:rsidR="00EA216F" w14:paraId="557B2FE9"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456F91C8" w14:textId="77777777" w:rsidR="00EA216F" w:rsidRDefault="00EA216F" w:rsidP="00EA216F">
            <w:pPr>
              <w:pStyle w:val="biaogecenter"/>
              <w:wordWrap w:val="0"/>
              <w:ind w:firstLine="480"/>
            </w:pPr>
            <w:r>
              <w:rPr>
                <w:rFonts w:hAnsi="Calibri" w:hint="eastAsia"/>
                <w:color w:val="000000"/>
              </w:rPr>
              <w:t>P</w:t>
            </w:r>
          </w:p>
        </w:tc>
        <w:tc>
          <w:tcPr>
            <w:tcW w:w="2338" w:type="dxa"/>
            <w:tcBorders>
              <w:top w:val="single" w:sz="8" w:space="0" w:color="000000"/>
              <w:left w:val="single" w:sz="8" w:space="0" w:color="000000"/>
              <w:bottom w:val="single" w:sz="6" w:space="0" w:color="000000"/>
              <w:right w:val="single" w:sz="8" w:space="0" w:color="000000"/>
            </w:tcBorders>
          </w:tcPr>
          <w:p w14:paraId="6438748E" w14:textId="3F616E64" w:rsidR="00EA216F" w:rsidRDefault="00EA216F" w:rsidP="00EA216F">
            <w:pPr>
              <w:pStyle w:val="biaogeleft"/>
              <w:wordWrap w:val="0"/>
            </w:pPr>
            <w:r w:rsidRPr="008A72CA">
              <w:rPr>
                <w:rFonts w:hint="eastAsia"/>
              </w:rPr>
              <w:t>教育</w:t>
            </w:r>
          </w:p>
        </w:tc>
        <w:tc>
          <w:tcPr>
            <w:tcW w:w="2328" w:type="dxa"/>
            <w:tcBorders>
              <w:top w:val="single" w:sz="8" w:space="0" w:color="000000"/>
              <w:left w:val="single" w:sz="8" w:space="0" w:color="000000"/>
              <w:bottom w:val="single" w:sz="6" w:space="0" w:color="000000"/>
              <w:right w:val="single" w:sz="8" w:space="0" w:color="000000"/>
            </w:tcBorders>
          </w:tcPr>
          <w:p w14:paraId="64DC66B1" w14:textId="41CB54B4"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765C7ED9" w14:textId="307D58A8" w:rsidR="00EA216F" w:rsidRDefault="00EA216F" w:rsidP="00EA216F">
            <w:pPr>
              <w:pStyle w:val="biaogeright"/>
              <w:wordWrap w:val="0"/>
            </w:pPr>
            <w:r w:rsidRPr="00D06258">
              <w:t>-</w:t>
            </w:r>
          </w:p>
        </w:tc>
      </w:tr>
      <w:tr w:rsidR="00EA216F" w14:paraId="7ABF4392"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71E9D8D4" w14:textId="77777777" w:rsidR="00EA216F" w:rsidRDefault="00EA216F" w:rsidP="00EA216F">
            <w:pPr>
              <w:pStyle w:val="biaogecenter"/>
              <w:wordWrap w:val="0"/>
              <w:ind w:firstLine="480"/>
            </w:pPr>
            <w:r>
              <w:rPr>
                <w:rFonts w:hAnsi="Calibri" w:hint="eastAsia"/>
                <w:color w:val="000000"/>
              </w:rPr>
              <w:t>Q</w:t>
            </w:r>
          </w:p>
        </w:tc>
        <w:tc>
          <w:tcPr>
            <w:tcW w:w="2338" w:type="dxa"/>
            <w:tcBorders>
              <w:top w:val="single" w:sz="8" w:space="0" w:color="000000"/>
              <w:left w:val="single" w:sz="8" w:space="0" w:color="000000"/>
              <w:bottom w:val="single" w:sz="6" w:space="0" w:color="000000"/>
              <w:right w:val="single" w:sz="8" w:space="0" w:color="000000"/>
            </w:tcBorders>
          </w:tcPr>
          <w:p w14:paraId="33303F64" w14:textId="0150CCE2" w:rsidR="00EA216F" w:rsidRDefault="00EA216F" w:rsidP="00EA216F">
            <w:pPr>
              <w:pStyle w:val="biaogeleft"/>
              <w:wordWrap w:val="0"/>
            </w:pPr>
            <w:r w:rsidRPr="008A72CA">
              <w:rPr>
                <w:rFonts w:hint="eastAsia"/>
              </w:rPr>
              <w:t>卫生和社会工作</w:t>
            </w:r>
          </w:p>
        </w:tc>
        <w:tc>
          <w:tcPr>
            <w:tcW w:w="2328" w:type="dxa"/>
            <w:tcBorders>
              <w:top w:val="single" w:sz="8" w:space="0" w:color="000000"/>
              <w:left w:val="single" w:sz="8" w:space="0" w:color="000000"/>
              <w:bottom w:val="single" w:sz="6" w:space="0" w:color="000000"/>
              <w:right w:val="single" w:sz="8" w:space="0" w:color="000000"/>
            </w:tcBorders>
          </w:tcPr>
          <w:p w14:paraId="5CFCBB44" w14:textId="53BEE1A6"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66A8F4AB" w14:textId="5CE3751F" w:rsidR="00EA216F" w:rsidRDefault="00EA216F" w:rsidP="00EA216F">
            <w:pPr>
              <w:pStyle w:val="biaogeright"/>
              <w:wordWrap w:val="0"/>
            </w:pPr>
            <w:r w:rsidRPr="00D06258">
              <w:t>-</w:t>
            </w:r>
          </w:p>
        </w:tc>
      </w:tr>
      <w:tr w:rsidR="00EA216F" w14:paraId="26068CC8"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1690371F" w14:textId="77777777" w:rsidR="00EA216F" w:rsidRDefault="00EA216F" w:rsidP="00EA216F">
            <w:pPr>
              <w:pStyle w:val="biaogecenter"/>
              <w:wordWrap w:val="0"/>
              <w:ind w:firstLine="480"/>
            </w:pPr>
            <w:r>
              <w:rPr>
                <w:rFonts w:hAnsi="Calibri" w:hint="eastAsia"/>
                <w:color w:val="000000"/>
              </w:rPr>
              <w:t>R</w:t>
            </w:r>
          </w:p>
        </w:tc>
        <w:tc>
          <w:tcPr>
            <w:tcW w:w="2338" w:type="dxa"/>
            <w:tcBorders>
              <w:top w:val="single" w:sz="8" w:space="0" w:color="000000"/>
              <w:left w:val="single" w:sz="8" w:space="0" w:color="000000"/>
              <w:bottom w:val="single" w:sz="6" w:space="0" w:color="000000"/>
              <w:right w:val="single" w:sz="8" w:space="0" w:color="000000"/>
            </w:tcBorders>
          </w:tcPr>
          <w:p w14:paraId="359F5623" w14:textId="1D3898C9" w:rsidR="00EA216F" w:rsidRDefault="00EA216F" w:rsidP="00EA216F">
            <w:pPr>
              <w:pStyle w:val="biaogeleft"/>
              <w:wordWrap w:val="0"/>
            </w:pPr>
            <w:r w:rsidRPr="008A72CA">
              <w:rPr>
                <w:rFonts w:hint="eastAsia"/>
              </w:rPr>
              <w:t>文化、体育和娱乐业</w:t>
            </w:r>
          </w:p>
        </w:tc>
        <w:tc>
          <w:tcPr>
            <w:tcW w:w="2328" w:type="dxa"/>
            <w:tcBorders>
              <w:top w:val="single" w:sz="8" w:space="0" w:color="000000"/>
              <w:left w:val="single" w:sz="8" w:space="0" w:color="000000"/>
              <w:bottom w:val="single" w:sz="6" w:space="0" w:color="000000"/>
              <w:right w:val="single" w:sz="8" w:space="0" w:color="000000"/>
            </w:tcBorders>
          </w:tcPr>
          <w:p w14:paraId="3CB84732" w14:textId="1D10FB9C"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049011C6" w14:textId="2F913EE1" w:rsidR="00EA216F" w:rsidRDefault="00EA216F" w:rsidP="00EA216F">
            <w:pPr>
              <w:pStyle w:val="biaogeright"/>
              <w:wordWrap w:val="0"/>
            </w:pPr>
            <w:r w:rsidRPr="00D06258">
              <w:t>-</w:t>
            </w:r>
          </w:p>
        </w:tc>
      </w:tr>
      <w:tr w:rsidR="00EA216F" w14:paraId="213A7FB1"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6453A2CE" w14:textId="77777777" w:rsidR="00EA216F" w:rsidRDefault="00EA216F" w:rsidP="00EA216F">
            <w:pPr>
              <w:pStyle w:val="biaogecenter"/>
              <w:wordWrap w:val="0"/>
              <w:ind w:firstLine="480"/>
            </w:pPr>
            <w:r>
              <w:rPr>
                <w:rFonts w:hAnsi="Calibri" w:hint="eastAsia"/>
                <w:color w:val="000000"/>
              </w:rPr>
              <w:t>S</w:t>
            </w:r>
          </w:p>
        </w:tc>
        <w:tc>
          <w:tcPr>
            <w:tcW w:w="2338" w:type="dxa"/>
            <w:tcBorders>
              <w:top w:val="single" w:sz="8" w:space="0" w:color="000000"/>
              <w:left w:val="single" w:sz="8" w:space="0" w:color="000000"/>
              <w:bottom w:val="single" w:sz="6" w:space="0" w:color="000000"/>
              <w:right w:val="single" w:sz="8" w:space="0" w:color="000000"/>
            </w:tcBorders>
          </w:tcPr>
          <w:p w14:paraId="7799A3FB" w14:textId="6A57593A" w:rsidR="00EA216F" w:rsidRDefault="00EA216F" w:rsidP="00EA216F">
            <w:pPr>
              <w:pStyle w:val="biaogeleft"/>
              <w:wordWrap w:val="0"/>
            </w:pPr>
            <w:r w:rsidRPr="008A72CA">
              <w:rPr>
                <w:rFonts w:hint="eastAsia"/>
              </w:rPr>
              <w:t>综合</w:t>
            </w:r>
          </w:p>
        </w:tc>
        <w:tc>
          <w:tcPr>
            <w:tcW w:w="2328" w:type="dxa"/>
            <w:tcBorders>
              <w:top w:val="single" w:sz="8" w:space="0" w:color="000000"/>
              <w:left w:val="single" w:sz="8" w:space="0" w:color="000000"/>
              <w:bottom w:val="single" w:sz="6" w:space="0" w:color="000000"/>
              <w:right w:val="single" w:sz="8" w:space="0" w:color="000000"/>
            </w:tcBorders>
          </w:tcPr>
          <w:p w14:paraId="5C34CAA5" w14:textId="722601D8" w:rsidR="00EA216F" w:rsidRDefault="00EA216F" w:rsidP="00EA216F">
            <w:pPr>
              <w:pStyle w:val="biaogeright"/>
              <w:wordWrap w:val="0"/>
            </w:pPr>
            <w:r w:rsidRPr="00D06258">
              <w:t>-</w:t>
            </w:r>
          </w:p>
        </w:tc>
        <w:tc>
          <w:tcPr>
            <w:tcW w:w="2409" w:type="dxa"/>
            <w:tcBorders>
              <w:top w:val="single" w:sz="8" w:space="0" w:color="000000"/>
              <w:left w:val="single" w:sz="8" w:space="0" w:color="000000"/>
              <w:bottom w:val="single" w:sz="6" w:space="0" w:color="000000"/>
              <w:right w:val="single" w:sz="8" w:space="0" w:color="000000"/>
            </w:tcBorders>
          </w:tcPr>
          <w:p w14:paraId="704EFC85" w14:textId="3721BFF1" w:rsidR="00EA216F" w:rsidRDefault="00EA216F" w:rsidP="00EA216F">
            <w:pPr>
              <w:pStyle w:val="biaogeright"/>
              <w:wordWrap w:val="0"/>
            </w:pPr>
            <w:r w:rsidRPr="00D06258">
              <w:t>-</w:t>
            </w:r>
          </w:p>
        </w:tc>
      </w:tr>
      <w:tr w:rsidR="00EA216F" w14:paraId="216F16AE" w14:textId="77777777" w:rsidTr="0070640F">
        <w:tc>
          <w:tcPr>
            <w:tcW w:w="0" w:type="auto"/>
            <w:tcBorders>
              <w:top w:val="single" w:sz="8" w:space="0" w:color="000000"/>
              <w:left w:val="single" w:sz="8" w:space="0" w:color="000000"/>
              <w:bottom w:val="single" w:sz="6" w:space="0" w:color="000000"/>
              <w:right w:val="single" w:sz="8" w:space="0" w:color="000000"/>
            </w:tcBorders>
            <w:vAlign w:val="center"/>
          </w:tcPr>
          <w:p w14:paraId="5C416910" w14:textId="77777777" w:rsidR="00EA216F" w:rsidRDefault="00EA216F" w:rsidP="00EA216F"/>
        </w:tc>
        <w:tc>
          <w:tcPr>
            <w:tcW w:w="2338" w:type="dxa"/>
            <w:tcBorders>
              <w:top w:val="single" w:sz="8" w:space="0" w:color="000000"/>
              <w:left w:val="single" w:sz="8" w:space="0" w:color="000000"/>
              <w:bottom w:val="single" w:sz="6" w:space="0" w:color="000000"/>
              <w:right w:val="single" w:sz="8" w:space="0" w:color="000000"/>
            </w:tcBorders>
          </w:tcPr>
          <w:p w14:paraId="54687AC1" w14:textId="347DD8C4" w:rsidR="00EA216F" w:rsidRDefault="00EA216F" w:rsidP="00EA216F">
            <w:pPr>
              <w:pStyle w:val="biaogeleft"/>
              <w:wordWrap w:val="0"/>
            </w:pPr>
            <w:r w:rsidRPr="008A72CA">
              <w:rPr>
                <w:rFonts w:hint="eastAsia"/>
              </w:rPr>
              <w:t>合计</w:t>
            </w:r>
          </w:p>
        </w:tc>
        <w:tc>
          <w:tcPr>
            <w:tcW w:w="2328" w:type="dxa"/>
            <w:tcBorders>
              <w:top w:val="single" w:sz="8" w:space="0" w:color="000000"/>
              <w:left w:val="single" w:sz="8" w:space="0" w:color="000000"/>
              <w:bottom w:val="single" w:sz="6" w:space="0" w:color="000000"/>
              <w:right w:val="single" w:sz="8" w:space="0" w:color="000000"/>
            </w:tcBorders>
          </w:tcPr>
          <w:p w14:paraId="473A2630" w14:textId="24CD5FC9" w:rsidR="00EA216F" w:rsidRDefault="00EA216F" w:rsidP="00EA216F">
            <w:pPr>
              <w:pStyle w:val="biaogeright"/>
              <w:wordWrap w:val="0"/>
            </w:pPr>
            <w:r w:rsidRPr="00D06258">
              <w:t>1,022,853,859.59</w:t>
            </w:r>
          </w:p>
        </w:tc>
        <w:tc>
          <w:tcPr>
            <w:tcW w:w="2409" w:type="dxa"/>
            <w:tcBorders>
              <w:top w:val="single" w:sz="8" w:space="0" w:color="000000"/>
              <w:left w:val="single" w:sz="8" w:space="0" w:color="000000"/>
              <w:bottom w:val="single" w:sz="6" w:space="0" w:color="000000"/>
              <w:right w:val="single" w:sz="8" w:space="0" w:color="000000"/>
            </w:tcBorders>
          </w:tcPr>
          <w:p w14:paraId="1CD7E4BE" w14:textId="75E076AF" w:rsidR="00EA216F" w:rsidRDefault="00EA216F" w:rsidP="00EA216F">
            <w:pPr>
              <w:pStyle w:val="biaogeright"/>
              <w:wordWrap w:val="0"/>
            </w:pPr>
            <w:r w:rsidRPr="00D06258">
              <w:t>55.62</w:t>
            </w:r>
          </w:p>
        </w:tc>
      </w:tr>
    </w:tbl>
    <w:p w14:paraId="3DC5D9E4" w14:textId="77777777" w:rsidR="008A6127" w:rsidRDefault="008A6127">
      <w:pPr>
        <w:snapToGrid w:val="0"/>
        <w:spacing w:line="360" w:lineRule="auto"/>
        <w:rPr>
          <w:rFonts w:ascii="宋体" w:hAnsi="宋体"/>
          <w:sz w:val="24"/>
        </w:rPr>
      </w:pPr>
    </w:p>
    <w:p w14:paraId="6A44E10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（2）报告期末按行业分类的港股通投资股票投资组合</w:t>
      </w:r>
    </w:p>
    <w:tbl>
      <w:tblPr>
        <w:tblW w:w="8114" w:type="dxa"/>
        <w:tblInd w:w="216" w:type="dxa"/>
        <w:tblLook w:val="04A0" w:firstRow="1" w:lastRow="0" w:firstColumn="1" w:lastColumn="0" w:noHBand="0" w:noVBand="1"/>
      </w:tblPr>
      <w:tblGrid>
        <w:gridCol w:w="1617"/>
        <w:gridCol w:w="3119"/>
        <w:gridCol w:w="3378"/>
      </w:tblGrid>
      <w:tr w:rsidR="008A6127" w14:paraId="32932256" w14:textId="77777777">
        <w:trPr>
          <w:trHeight w:val="385"/>
        </w:trPr>
        <w:tc>
          <w:tcPr>
            <w:tcW w:w="1617" w:type="dxa"/>
            <w:tcBorders>
              <w:top w:val="single" w:sz="8" w:space="0" w:color="000000"/>
              <w:left w:val="single" w:sz="8" w:space="0" w:color="000000"/>
              <w:bottom w:val="single" w:sz="6" w:space="0" w:color="000000"/>
              <w:right w:val="single" w:sz="8" w:space="0" w:color="000000"/>
            </w:tcBorders>
            <w:vAlign w:val="center"/>
          </w:tcPr>
          <w:p w14:paraId="6F78FA1E" w14:textId="77777777" w:rsidR="008A6127" w:rsidRDefault="00437D9F">
            <w:pPr>
              <w:pStyle w:val="biaogecenter"/>
              <w:ind w:left="0"/>
            </w:pPr>
            <w:r>
              <w:rPr>
                <w:rFonts w:hAnsi="Calibri" w:hint="eastAsia"/>
                <w:color w:val="000000"/>
              </w:rPr>
              <w:t>行业类别</w:t>
            </w:r>
          </w:p>
        </w:tc>
        <w:tc>
          <w:tcPr>
            <w:tcW w:w="3119" w:type="dxa"/>
            <w:tcBorders>
              <w:top w:val="single" w:sz="8" w:space="0" w:color="000000"/>
              <w:left w:val="single" w:sz="8" w:space="0" w:color="000000"/>
              <w:bottom w:val="single" w:sz="6" w:space="0" w:color="000000"/>
              <w:right w:val="single" w:sz="8" w:space="0" w:color="000000"/>
            </w:tcBorders>
            <w:vAlign w:val="center"/>
          </w:tcPr>
          <w:p w14:paraId="0F203C6D" w14:textId="77777777" w:rsidR="008A6127" w:rsidRDefault="00437D9F">
            <w:pPr>
              <w:pStyle w:val="biaogecenter"/>
              <w:wordWrap w:val="0"/>
              <w:ind w:left="0"/>
            </w:pPr>
            <w:r>
              <w:rPr>
                <w:rFonts w:hAnsi="Calibri" w:hint="eastAsia"/>
                <w:color w:val="000000"/>
              </w:rPr>
              <w:t>公允价值(人民币)</w:t>
            </w:r>
          </w:p>
        </w:tc>
        <w:tc>
          <w:tcPr>
            <w:tcW w:w="3378" w:type="dxa"/>
            <w:tcBorders>
              <w:top w:val="single" w:sz="8" w:space="0" w:color="000000"/>
              <w:left w:val="single" w:sz="8" w:space="0" w:color="000000"/>
              <w:bottom w:val="single" w:sz="6" w:space="0" w:color="000000"/>
              <w:right w:val="single" w:sz="8" w:space="0" w:color="000000"/>
            </w:tcBorders>
            <w:vAlign w:val="center"/>
          </w:tcPr>
          <w:p w14:paraId="62BAC7E2" w14:textId="77777777" w:rsidR="008A6127" w:rsidRDefault="00437D9F">
            <w:pPr>
              <w:pStyle w:val="biaogecenter"/>
              <w:wordWrap w:val="0"/>
              <w:ind w:left="0"/>
            </w:pPr>
            <w:r>
              <w:rPr>
                <w:rFonts w:hAnsi="Calibri" w:hint="eastAsia"/>
                <w:color w:val="000000"/>
              </w:rPr>
              <w:t>占基金资产净值比例（％）</w:t>
            </w:r>
          </w:p>
        </w:tc>
      </w:tr>
      <w:tr w:rsidR="00EA216F" w14:paraId="21B57D4D" w14:textId="77777777" w:rsidTr="00FC0908">
        <w:trPr>
          <w:trHeight w:val="388"/>
        </w:trPr>
        <w:tc>
          <w:tcPr>
            <w:tcW w:w="1617" w:type="dxa"/>
            <w:tcBorders>
              <w:top w:val="single" w:sz="8" w:space="0" w:color="000000"/>
              <w:left w:val="single" w:sz="8" w:space="0" w:color="000000"/>
              <w:bottom w:val="single" w:sz="6" w:space="0" w:color="000000"/>
              <w:right w:val="single" w:sz="8" w:space="0" w:color="000000"/>
            </w:tcBorders>
          </w:tcPr>
          <w:p w14:paraId="71A69105" w14:textId="567B35DA" w:rsidR="00EA216F" w:rsidRPr="003B30BC" w:rsidRDefault="00EA216F" w:rsidP="00EA216F">
            <w:pPr>
              <w:pStyle w:val="biaogeleft"/>
              <w:wordWrap w:val="0"/>
            </w:pPr>
            <w:r w:rsidRPr="0030437A">
              <w:rPr>
                <w:rFonts w:hint="eastAsia"/>
              </w:rPr>
              <w:t>原材料</w:t>
            </w:r>
          </w:p>
        </w:tc>
        <w:tc>
          <w:tcPr>
            <w:tcW w:w="3119" w:type="dxa"/>
            <w:tcBorders>
              <w:top w:val="single" w:sz="8" w:space="0" w:color="000000"/>
              <w:left w:val="single" w:sz="8" w:space="0" w:color="000000"/>
              <w:bottom w:val="single" w:sz="6" w:space="0" w:color="000000"/>
              <w:right w:val="single" w:sz="8" w:space="0" w:color="000000"/>
            </w:tcBorders>
          </w:tcPr>
          <w:p w14:paraId="1E164E86" w14:textId="3F362185" w:rsidR="00EA216F" w:rsidRPr="004031A0" w:rsidRDefault="00EA216F" w:rsidP="00EA216F">
            <w:pPr>
              <w:pStyle w:val="biaogeright"/>
              <w:wordWrap w:val="0"/>
            </w:pPr>
            <w:r w:rsidRPr="002706EC">
              <w:t>66,108,779.96</w:t>
            </w:r>
          </w:p>
        </w:tc>
        <w:tc>
          <w:tcPr>
            <w:tcW w:w="3378" w:type="dxa"/>
            <w:tcBorders>
              <w:top w:val="single" w:sz="8" w:space="0" w:color="000000"/>
              <w:left w:val="single" w:sz="8" w:space="0" w:color="000000"/>
              <w:bottom w:val="single" w:sz="6" w:space="0" w:color="000000"/>
              <w:right w:val="single" w:sz="8" w:space="0" w:color="000000"/>
            </w:tcBorders>
          </w:tcPr>
          <w:p w14:paraId="58CF3F1F" w14:textId="1AB0AE3B" w:rsidR="00EA216F" w:rsidRPr="004031A0" w:rsidRDefault="00EA216F" w:rsidP="00EA216F">
            <w:pPr>
              <w:pStyle w:val="biaogeright"/>
              <w:wordWrap w:val="0"/>
            </w:pPr>
            <w:r w:rsidRPr="002706EC">
              <w:t>3.59</w:t>
            </w:r>
          </w:p>
        </w:tc>
      </w:tr>
      <w:tr w:rsidR="00EA216F" w14:paraId="6270EAA7" w14:textId="77777777">
        <w:trPr>
          <w:trHeight w:val="757"/>
        </w:trPr>
        <w:tc>
          <w:tcPr>
            <w:tcW w:w="1617" w:type="dxa"/>
            <w:tcBorders>
              <w:top w:val="single" w:sz="8" w:space="0" w:color="000000"/>
              <w:left w:val="single" w:sz="8" w:space="0" w:color="000000"/>
              <w:bottom w:val="single" w:sz="6" w:space="0" w:color="000000"/>
              <w:right w:val="single" w:sz="8" w:space="0" w:color="000000"/>
            </w:tcBorders>
          </w:tcPr>
          <w:p w14:paraId="55CF0BC9" w14:textId="18846F99" w:rsidR="00EA216F" w:rsidRDefault="00EA216F" w:rsidP="00EA216F">
            <w:pPr>
              <w:pStyle w:val="biaogeleft"/>
              <w:wordWrap w:val="0"/>
            </w:pPr>
            <w:r w:rsidRPr="0030437A">
              <w:rPr>
                <w:rFonts w:hint="eastAsia"/>
              </w:rPr>
              <w:t>非日常生活消费品</w:t>
            </w:r>
          </w:p>
        </w:tc>
        <w:tc>
          <w:tcPr>
            <w:tcW w:w="3119" w:type="dxa"/>
            <w:tcBorders>
              <w:top w:val="single" w:sz="8" w:space="0" w:color="000000"/>
              <w:left w:val="single" w:sz="8" w:space="0" w:color="000000"/>
              <w:bottom w:val="single" w:sz="6" w:space="0" w:color="000000"/>
              <w:right w:val="single" w:sz="8" w:space="0" w:color="000000"/>
            </w:tcBorders>
          </w:tcPr>
          <w:p w14:paraId="03040C65" w14:textId="0718C8C8" w:rsidR="00EA216F" w:rsidRDefault="00EA216F" w:rsidP="00EA216F">
            <w:pPr>
              <w:pStyle w:val="biaogeright"/>
              <w:wordWrap w:val="0"/>
            </w:pPr>
            <w:r w:rsidRPr="002706EC">
              <w:t>87,513,314.00</w:t>
            </w:r>
          </w:p>
        </w:tc>
        <w:tc>
          <w:tcPr>
            <w:tcW w:w="3378" w:type="dxa"/>
            <w:tcBorders>
              <w:top w:val="single" w:sz="8" w:space="0" w:color="000000"/>
              <w:left w:val="single" w:sz="8" w:space="0" w:color="000000"/>
              <w:bottom w:val="single" w:sz="6" w:space="0" w:color="000000"/>
              <w:right w:val="single" w:sz="8" w:space="0" w:color="000000"/>
            </w:tcBorders>
          </w:tcPr>
          <w:p w14:paraId="4D5C2128" w14:textId="5CDB4EBC" w:rsidR="00EA216F" w:rsidRDefault="00EA216F" w:rsidP="00EA216F">
            <w:pPr>
              <w:pStyle w:val="biaogeright"/>
              <w:wordWrap w:val="0"/>
            </w:pPr>
            <w:r w:rsidRPr="002706EC">
              <w:t>4.76</w:t>
            </w:r>
          </w:p>
        </w:tc>
      </w:tr>
      <w:tr w:rsidR="00EA216F" w14:paraId="769ED54C" w14:textId="77777777">
        <w:trPr>
          <w:trHeight w:val="385"/>
        </w:trPr>
        <w:tc>
          <w:tcPr>
            <w:tcW w:w="1617" w:type="dxa"/>
            <w:tcBorders>
              <w:top w:val="single" w:sz="8" w:space="0" w:color="000000"/>
              <w:left w:val="single" w:sz="8" w:space="0" w:color="000000"/>
              <w:bottom w:val="single" w:sz="6" w:space="0" w:color="000000"/>
              <w:right w:val="single" w:sz="8" w:space="0" w:color="000000"/>
            </w:tcBorders>
          </w:tcPr>
          <w:p w14:paraId="20E6E176" w14:textId="75BB86A2" w:rsidR="00EA216F" w:rsidRDefault="00EA216F" w:rsidP="00EA216F">
            <w:pPr>
              <w:pStyle w:val="biaogeleft"/>
              <w:wordWrap w:val="0"/>
            </w:pPr>
            <w:r w:rsidRPr="0030437A">
              <w:rPr>
                <w:rFonts w:hint="eastAsia"/>
              </w:rPr>
              <w:t>日常消费品</w:t>
            </w:r>
          </w:p>
        </w:tc>
        <w:tc>
          <w:tcPr>
            <w:tcW w:w="3119" w:type="dxa"/>
            <w:tcBorders>
              <w:top w:val="single" w:sz="8" w:space="0" w:color="000000"/>
              <w:left w:val="single" w:sz="8" w:space="0" w:color="000000"/>
              <w:bottom w:val="single" w:sz="6" w:space="0" w:color="000000"/>
              <w:right w:val="single" w:sz="8" w:space="0" w:color="000000"/>
            </w:tcBorders>
          </w:tcPr>
          <w:p w14:paraId="546428B5" w14:textId="64687755" w:rsidR="00EA216F" w:rsidRDefault="00EA216F" w:rsidP="00EA216F">
            <w:pPr>
              <w:pStyle w:val="biaogeright"/>
              <w:wordWrap w:val="0"/>
            </w:pPr>
            <w:r w:rsidRPr="002706EC">
              <w:t>29,600,027.67</w:t>
            </w:r>
          </w:p>
        </w:tc>
        <w:tc>
          <w:tcPr>
            <w:tcW w:w="3378" w:type="dxa"/>
            <w:tcBorders>
              <w:top w:val="single" w:sz="8" w:space="0" w:color="000000"/>
              <w:left w:val="single" w:sz="8" w:space="0" w:color="000000"/>
              <w:bottom w:val="single" w:sz="6" w:space="0" w:color="000000"/>
              <w:right w:val="single" w:sz="8" w:space="0" w:color="000000"/>
            </w:tcBorders>
          </w:tcPr>
          <w:p w14:paraId="217A947A" w14:textId="16B6ED72" w:rsidR="00EA216F" w:rsidRDefault="00EA216F" w:rsidP="00EA216F">
            <w:pPr>
              <w:pStyle w:val="biaogeright"/>
              <w:wordWrap w:val="0"/>
            </w:pPr>
            <w:r w:rsidRPr="002706EC">
              <w:t>1.61</w:t>
            </w:r>
          </w:p>
        </w:tc>
      </w:tr>
      <w:tr w:rsidR="00EA216F" w14:paraId="3331D50A" w14:textId="77777777">
        <w:trPr>
          <w:trHeight w:val="385"/>
        </w:trPr>
        <w:tc>
          <w:tcPr>
            <w:tcW w:w="1617" w:type="dxa"/>
            <w:tcBorders>
              <w:top w:val="single" w:sz="8" w:space="0" w:color="000000"/>
              <w:left w:val="single" w:sz="8" w:space="0" w:color="000000"/>
              <w:bottom w:val="single" w:sz="6" w:space="0" w:color="000000"/>
              <w:right w:val="single" w:sz="8" w:space="0" w:color="000000"/>
            </w:tcBorders>
          </w:tcPr>
          <w:p w14:paraId="4669C1AA" w14:textId="0D5A709C" w:rsidR="00EA216F" w:rsidRDefault="00EA216F" w:rsidP="00EA216F">
            <w:pPr>
              <w:pStyle w:val="biaogeleft"/>
              <w:wordWrap w:val="0"/>
            </w:pPr>
            <w:r w:rsidRPr="0030437A">
              <w:rPr>
                <w:rFonts w:hint="eastAsia"/>
              </w:rPr>
              <w:t>医疗保健</w:t>
            </w:r>
          </w:p>
        </w:tc>
        <w:tc>
          <w:tcPr>
            <w:tcW w:w="3119" w:type="dxa"/>
            <w:tcBorders>
              <w:top w:val="single" w:sz="8" w:space="0" w:color="000000"/>
              <w:left w:val="single" w:sz="8" w:space="0" w:color="000000"/>
              <w:bottom w:val="single" w:sz="6" w:space="0" w:color="000000"/>
              <w:right w:val="single" w:sz="8" w:space="0" w:color="000000"/>
            </w:tcBorders>
          </w:tcPr>
          <w:p w14:paraId="623776BD" w14:textId="02BFE1AB" w:rsidR="00EA216F" w:rsidRDefault="00EA216F" w:rsidP="00EA216F">
            <w:pPr>
              <w:pStyle w:val="biaogeright"/>
              <w:wordWrap w:val="0"/>
            </w:pPr>
            <w:r w:rsidRPr="002706EC">
              <w:t>94,371,483.82</w:t>
            </w:r>
          </w:p>
        </w:tc>
        <w:tc>
          <w:tcPr>
            <w:tcW w:w="3378" w:type="dxa"/>
            <w:tcBorders>
              <w:top w:val="single" w:sz="8" w:space="0" w:color="000000"/>
              <w:left w:val="single" w:sz="8" w:space="0" w:color="000000"/>
              <w:bottom w:val="single" w:sz="6" w:space="0" w:color="000000"/>
              <w:right w:val="single" w:sz="8" w:space="0" w:color="000000"/>
            </w:tcBorders>
          </w:tcPr>
          <w:p w14:paraId="04D324A7" w14:textId="164119E4" w:rsidR="00EA216F" w:rsidRDefault="00EA216F" w:rsidP="00EA216F">
            <w:pPr>
              <w:pStyle w:val="biaogeright"/>
              <w:wordWrap w:val="0"/>
            </w:pPr>
            <w:r w:rsidRPr="002706EC">
              <w:t>5.13</w:t>
            </w:r>
          </w:p>
        </w:tc>
      </w:tr>
      <w:tr w:rsidR="00EA216F" w14:paraId="26DBE3DB" w14:textId="77777777">
        <w:trPr>
          <w:trHeight w:val="385"/>
        </w:trPr>
        <w:tc>
          <w:tcPr>
            <w:tcW w:w="1617" w:type="dxa"/>
            <w:tcBorders>
              <w:top w:val="single" w:sz="8" w:space="0" w:color="000000"/>
              <w:left w:val="single" w:sz="8" w:space="0" w:color="000000"/>
              <w:bottom w:val="single" w:sz="6" w:space="0" w:color="000000"/>
              <w:right w:val="single" w:sz="8" w:space="0" w:color="000000"/>
            </w:tcBorders>
          </w:tcPr>
          <w:p w14:paraId="19C6A738" w14:textId="297DAD0C" w:rsidR="00EA216F" w:rsidRDefault="00EA216F" w:rsidP="00EA216F">
            <w:pPr>
              <w:pStyle w:val="biaogeleft"/>
              <w:wordWrap w:val="0"/>
            </w:pPr>
            <w:r w:rsidRPr="0030437A">
              <w:rPr>
                <w:rFonts w:hint="eastAsia"/>
              </w:rPr>
              <w:t>信息技术</w:t>
            </w:r>
          </w:p>
        </w:tc>
        <w:tc>
          <w:tcPr>
            <w:tcW w:w="3119" w:type="dxa"/>
            <w:tcBorders>
              <w:top w:val="single" w:sz="8" w:space="0" w:color="000000"/>
              <w:left w:val="single" w:sz="8" w:space="0" w:color="000000"/>
              <w:bottom w:val="single" w:sz="6" w:space="0" w:color="000000"/>
              <w:right w:val="single" w:sz="8" w:space="0" w:color="000000"/>
            </w:tcBorders>
          </w:tcPr>
          <w:p w14:paraId="7509C6DD" w14:textId="5A8AFF38" w:rsidR="00EA216F" w:rsidRDefault="00EA216F" w:rsidP="00EA216F">
            <w:pPr>
              <w:pStyle w:val="biaogeright"/>
              <w:wordWrap w:val="0"/>
            </w:pPr>
            <w:r w:rsidRPr="002706EC">
              <w:t>302,854,942.69</w:t>
            </w:r>
          </w:p>
        </w:tc>
        <w:tc>
          <w:tcPr>
            <w:tcW w:w="3378" w:type="dxa"/>
            <w:tcBorders>
              <w:top w:val="single" w:sz="8" w:space="0" w:color="000000"/>
              <w:left w:val="single" w:sz="8" w:space="0" w:color="000000"/>
              <w:bottom w:val="single" w:sz="6" w:space="0" w:color="000000"/>
              <w:right w:val="single" w:sz="8" w:space="0" w:color="000000"/>
            </w:tcBorders>
          </w:tcPr>
          <w:p w14:paraId="131EFCFB" w14:textId="216DEB73" w:rsidR="00EA216F" w:rsidRDefault="00EA216F" w:rsidP="00EA216F">
            <w:pPr>
              <w:pStyle w:val="biaogeright"/>
              <w:wordWrap w:val="0"/>
            </w:pPr>
            <w:r w:rsidRPr="002706EC">
              <w:t>16.47</w:t>
            </w:r>
          </w:p>
        </w:tc>
      </w:tr>
      <w:tr w:rsidR="00EA216F" w14:paraId="0B82A315" w14:textId="77777777">
        <w:trPr>
          <w:trHeight w:val="385"/>
        </w:trPr>
        <w:tc>
          <w:tcPr>
            <w:tcW w:w="1617" w:type="dxa"/>
            <w:tcBorders>
              <w:top w:val="single" w:sz="8" w:space="0" w:color="000000"/>
              <w:left w:val="single" w:sz="8" w:space="0" w:color="000000"/>
              <w:bottom w:val="single" w:sz="6" w:space="0" w:color="000000"/>
              <w:right w:val="single" w:sz="8" w:space="0" w:color="000000"/>
            </w:tcBorders>
          </w:tcPr>
          <w:p w14:paraId="653634D9" w14:textId="32EAD796" w:rsidR="00EA216F" w:rsidRDefault="00EA216F" w:rsidP="00EA216F">
            <w:pPr>
              <w:pStyle w:val="biaogeleft"/>
              <w:wordWrap w:val="0"/>
            </w:pPr>
            <w:r w:rsidRPr="0030437A">
              <w:rPr>
                <w:rFonts w:hint="eastAsia"/>
              </w:rPr>
              <w:t>通讯业务</w:t>
            </w:r>
          </w:p>
        </w:tc>
        <w:tc>
          <w:tcPr>
            <w:tcW w:w="3119" w:type="dxa"/>
            <w:tcBorders>
              <w:top w:val="single" w:sz="8" w:space="0" w:color="000000"/>
              <w:left w:val="single" w:sz="8" w:space="0" w:color="000000"/>
              <w:bottom w:val="single" w:sz="6" w:space="0" w:color="000000"/>
              <w:right w:val="single" w:sz="8" w:space="0" w:color="000000"/>
            </w:tcBorders>
          </w:tcPr>
          <w:p w14:paraId="6B96449E" w14:textId="10EE6808" w:rsidR="00EA216F" w:rsidRDefault="00EA216F" w:rsidP="00EA216F">
            <w:pPr>
              <w:pStyle w:val="biaogeright"/>
              <w:wordWrap w:val="0"/>
            </w:pPr>
            <w:r w:rsidRPr="002706EC">
              <w:t>9,444,560.59</w:t>
            </w:r>
          </w:p>
        </w:tc>
        <w:tc>
          <w:tcPr>
            <w:tcW w:w="3378" w:type="dxa"/>
            <w:tcBorders>
              <w:top w:val="single" w:sz="8" w:space="0" w:color="000000"/>
              <w:left w:val="single" w:sz="8" w:space="0" w:color="000000"/>
              <w:bottom w:val="single" w:sz="6" w:space="0" w:color="000000"/>
              <w:right w:val="single" w:sz="8" w:space="0" w:color="000000"/>
            </w:tcBorders>
          </w:tcPr>
          <w:p w14:paraId="7ED34ECA" w14:textId="2519B8CD" w:rsidR="00EA216F" w:rsidRDefault="00EA216F" w:rsidP="00EA216F">
            <w:pPr>
              <w:pStyle w:val="biaogeright"/>
              <w:wordWrap w:val="0"/>
            </w:pPr>
            <w:r w:rsidRPr="002706EC">
              <w:t>0.51</w:t>
            </w:r>
          </w:p>
        </w:tc>
      </w:tr>
      <w:tr w:rsidR="00EA216F" w14:paraId="570863C5" w14:textId="77777777">
        <w:trPr>
          <w:trHeight w:val="385"/>
        </w:trPr>
        <w:tc>
          <w:tcPr>
            <w:tcW w:w="1617" w:type="dxa"/>
            <w:tcBorders>
              <w:top w:val="single" w:sz="8" w:space="0" w:color="000000"/>
              <w:left w:val="single" w:sz="8" w:space="0" w:color="000000"/>
              <w:bottom w:val="single" w:sz="6" w:space="0" w:color="000000"/>
              <w:right w:val="single" w:sz="8" w:space="0" w:color="000000"/>
            </w:tcBorders>
          </w:tcPr>
          <w:p w14:paraId="19514B3F" w14:textId="601B3A13" w:rsidR="00EA216F" w:rsidRDefault="00EA216F" w:rsidP="00EA216F">
            <w:pPr>
              <w:pStyle w:val="biaogeleft"/>
              <w:wordWrap w:val="0"/>
            </w:pPr>
            <w:r w:rsidRPr="0030437A">
              <w:rPr>
                <w:rFonts w:hint="eastAsia"/>
              </w:rPr>
              <w:t>公用事业</w:t>
            </w:r>
          </w:p>
        </w:tc>
        <w:tc>
          <w:tcPr>
            <w:tcW w:w="3119" w:type="dxa"/>
            <w:tcBorders>
              <w:top w:val="single" w:sz="8" w:space="0" w:color="000000"/>
              <w:left w:val="single" w:sz="8" w:space="0" w:color="000000"/>
              <w:bottom w:val="single" w:sz="6" w:space="0" w:color="000000"/>
              <w:right w:val="single" w:sz="8" w:space="0" w:color="000000"/>
            </w:tcBorders>
          </w:tcPr>
          <w:p w14:paraId="5EC0678F" w14:textId="66D3454C" w:rsidR="00EA216F" w:rsidRDefault="00EA216F" w:rsidP="00EA216F">
            <w:pPr>
              <w:pStyle w:val="biaogeright"/>
              <w:wordWrap w:val="0"/>
            </w:pPr>
            <w:r w:rsidRPr="002706EC">
              <w:t>9,093,718.50</w:t>
            </w:r>
          </w:p>
        </w:tc>
        <w:tc>
          <w:tcPr>
            <w:tcW w:w="3378" w:type="dxa"/>
            <w:tcBorders>
              <w:top w:val="single" w:sz="8" w:space="0" w:color="000000"/>
              <w:left w:val="single" w:sz="8" w:space="0" w:color="000000"/>
              <w:bottom w:val="single" w:sz="6" w:space="0" w:color="000000"/>
              <w:right w:val="single" w:sz="8" w:space="0" w:color="000000"/>
            </w:tcBorders>
          </w:tcPr>
          <w:p w14:paraId="1651B138" w14:textId="5216509F" w:rsidR="00EA216F" w:rsidRDefault="00EA216F" w:rsidP="00EA216F">
            <w:pPr>
              <w:pStyle w:val="biaogeright"/>
              <w:wordWrap w:val="0"/>
            </w:pPr>
            <w:r w:rsidRPr="002706EC">
              <w:t>0.49</w:t>
            </w:r>
          </w:p>
        </w:tc>
      </w:tr>
      <w:tr w:rsidR="00EA216F" w14:paraId="31164F4D" w14:textId="77777777" w:rsidTr="00FC0908">
        <w:trPr>
          <w:trHeight w:val="385"/>
        </w:trPr>
        <w:tc>
          <w:tcPr>
            <w:tcW w:w="1617" w:type="dxa"/>
            <w:tcBorders>
              <w:top w:val="single" w:sz="8" w:space="0" w:color="000000"/>
              <w:left w:val="single" w:sz="8" w:space="0" w:color="000000"/>
              <w:bottom w:val="single" w:sz="6" w:space="0" w:color="000000"/>
              <w:right w:val="single" w:sz="8" w:space="0" w:color="000000"/>
            </w:tcBorders>
          </w:tcPr>
          <w:p w14:paraId="572A707B" w14:textId="7A091420" w:rsidR="00EA216F" w:rsidRDefault="00EA216F" w:rsidP="00EA216F">
            <w:pPr>
              <w:pStyle w:val="biaogecenter"/>
              <w:wordWrap w:val="0"/>
              <w:ind w:left="0"/>
              <w:jc w:val="both"/>
            </w:pPr>
            <w:r w:rsidRPr="0030437A">
              <w:rPr>
                <w:rFonts w:hint="eastAsia"/>
              </w:rPr>
              <w:t>合计</w:t>
            </w:r>
          </w:p>
        </w:tc>
        <w:tc>
          <w:tcPr>
            <w:tcW w:w="3119" w:type="dxa"/>
            <w:tcBorders>
              <w:top w:val="single" w:sz="8" w:space="0" w:color="000000"/>
              <w:left w:val="single" w:sz="8" w:space="0" w:color="000000"/>
              <w:bottom w:val="single" w:sz="6" w:space="0" w:color="000000"/>
              <w:right w:val="single" w:sz="8" w:space="0" w:color="000000"/>
            </w:tcBorders>
          </w:tcPr>
          <w:p w14:paraId="1229F395" w14:textId="3D1FBFB3" w:rsidR="00EA216F" w:rsidRDefault="00EA216F" w:rsidP="00EA216F">
            <w:pPr>
              <w:pStyle w:val="biaogeright"/>
              <w:wordWrap w:val="0"/>
            </w:pPr>
            <w:r w:rsidRPr="002706EC">
              <w:t>598,986,827.23</w:t>
            </w:r>
          </w:p>
        </w:tc>
        <w:tc>
          <w:tcPr>
            <w:tcW w:w="3378" w:type="dxa"/>
            <w:tcBorders>
              <w:top w:val="single" w:sz="8" w:space="0" w:color="000000"/>
              <w:left w:val="single" w:sz="8" w:space="0" w:color="000000"/>
              <w:bottom w:val="single" w:sz="6" w:space="0" w:color="000000"/>
              <w:right w:val="single" w:sz="8" w:space="0" w:color="000000"/>
            </w:tcBorders>
          </w:tcPr>
          <w:p w14:paraId="6E7246E2" w14:textId="060A0B00" w:rsidR="00EA216F" w:rsidRDefault="00EA216F" w:rsidP="00EA216F">
            <w:pPr>
              <w:pStyle w:val="biaogeright"/>
              <w:wordWrap w:val="0"/>
            </w:pPr>
            <w:r w:rsidRPr="002706EC">
              <w:t>32.57</w:t>
            </w:r>
          </w:p>
        </w:tc>
      </w:tr>
    </w:tbl>
    <w:p w14:paraId="3FED18E9" w14:textId="77777777" w:rsidR="008A6127" w:rsidRDefault="00437D9F">
      <w:pPr>
        <w:widowControl/>
        <w:jc w:val="left"/>
        <w:rPr>
          <w:rFonts w:ascii="宋体" w:hAnsi="宋体" w:cs="宋体"/>
          <w:kern w:val="0"/>
          <w:sz w:val="24"/>
        </w:rPr>
      </w:pPr>
      <w:r>
        <w:rPr>
          <w:rFonts w:ascii="宋体" w:hAnsi="宋体" w:cs="宋体" w:hint="eastAsia"/>
          <w:kern w:val="0"/>
          <w:sz w:val="24"/>
        </w:rPr>
        <w:t>注：以上分类采用全球行业分类标准（GICS）。</w:t>
      </w:r>
    </w:p>
    <w:p w14:paraId="05E1779E" w14:textId="77777777" w:rsidR="008A6127" w:rsidRDefault="008A6127">
      <w:pPr>
        <w:widowControl/>
        <w:jc w:val="left"/>
        <w:rPr>
          <w:rFonts w:ascii="宋体" w:hAnsi="宋体" w:cs="宋体"/>
          <w:kern w:val="0"/>
          <w:sz w:val="24"/>
        </w:rPr>
      </w:pPr>
    </w:p>
    <w:p w14:paraId="35B69B20"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、报告期末按公允价值占基金资产净值比例大小排序的前十名股票投资明细</w:t>
      </w:r>
    </w:p>
    <w:tbl>
      <w:tblPr>
        <w:tblW w:w="8222" w:type="dxa"/>
        <w:tblInd w:w="132" w:type="dxa"/>
        <w:tblLook w:val="04A0" w:firstRow="1" w:lastRow="0" w:firstColumn="1" w:lastColumn="0" w:noHBand="0" w:noVBand="1"/>
      </w:tblPr>
      <w:tblGrid>
        <w:gridCol w:w="832"/>
        <w:gridCol w:w="1294"/>
        <w:gridCol w:w="1418"/>
        <w:gridCol w:w="1417"/>
        <w:gridCol w:w="1985"/>
        <w:gridCol w:w="1276"/>
      </w:tblGrid>
      <w:tr w:rsidR="00CE39AD" w14:paraId="7D68558C" w14:textId="77777777" w:rsidTr="00A36646">
        <w:tc>
          <w:tcPr>
            <w:tcW w:w="832" w:type="dxa"/>
            <w:tcBorders>
              <w:top w:val="single" w:sz="8" w:space="0" w:color="000000"/>
              <w:left w:val="single" w:sz="8" w:space="0" w:color="000000"/>
              <w:bottom w:val="single" w:sz="6" w:space="0" w:color="000000"/>
              <w:right w:val="single" w:sz="8" w:space="0" w:color="000000"/>
            </w:tcBorders>
            <w:vAlign w:val="center"/>
          </w:tcPr>
          <w:p w14:paraId="3969F357" w14:textId="77777777" w:rsidR="008A6127" w:rsidRDefault="00437D9F">
            <w:pPr>
              <w:pStyle w:val="biaogecenter"/>
              <w:wordWrap w:val="0"/>
              <w:ind w:left="0"/>
              <w:jc w:val="both"/>
            </w:pPr>
            <w:r>
              <w:rPr>
                <w:rFonts w:hAnsi="Calibri" w:hint="eastAsia"/>
                <w:color w:val="000000"/>
              </w:rPr>
              <w:t>序号</w:t>
            </w:r>
          </w:p>
        </w:tc>
        <w:tc>
          <w:tcPr>
            <w:tcW w:w="1294" w:type="dxa"/>
            <w:tcBorders>
              <w:top w:val="single" w:sz="8" w:space="0" w:color="000000"/>
              <w:left w:val="single" w:sz="8" w:space="0" w:color="000000"/>
              <w:bottom w:val="single" w:sz="6" w:space="0" w:color="000000"/>
              <w:right w:val="single" w:sz="8" w:space="0" w:color="000000"/>
            </w:tcBorders>
            <w:vAlign w:val="center"/>
          </w:tcPr>
          <w:p w14:paraId="30A92CD8" w14:textId="77777777" w:rsidR="008A6127" w:rsidRDefault="00437D9F">
            <w:pPr>
              <w:pStyle w:val="biaogecenter"/>
              <w:wordWrap w:val="0"/>
              <w:ind w:left="0"/>
              <w:jc w:val="both"/>
            </w:pPr>
            <w:r>
              <w:rPr>
                <w:rFonts w:hAnsi="Calibri" w:hint="eastAsia"/>
                <w:color w:val="000000"/>
              </w:rPr>
              <w:t>股票代码</w:t>
            </w:r>
          </w:p>
        </w:tc>
        <w:tc>
          <w:tcPr>
            <w:tcW w:w="1418" w:type="dxa"/>
            <w:tcBorders>
              <w:top w:val="single" w:sz="8" w:space="0" w:color="000000"/>
              <w:left w:val="single" w:sz="8" w:space="0" w:color="000000"/>
              <w:bottom w:val="single" w:sz="6" w:space="0" w:color="000000"/>
              <w:right w:val="single" w:sz="8" w:space="0" w:color="000000"/>
            </w:tcBorders>
            <w:vAlign w:val="center"/>
          </w:tcPr>
          <w:p w14:paraId="652A24F2" w14:textId="77777777" w:rsidR="008A6127" w:rsidRDefault="00437D9F">
            <w:pPr>
              <w:pStyle w:val="biaogecenter"/>
              <w:wordWrap w:val="0"/>
              <w:jc w:val="both"/>
            </w:pPr>
            <w:r>
              <w:rPr>
                <w:rFonts w:hAnsi="Calibri" w:hint="eastAsia"/>
                <w:color w:val="000000"/>
              </w:rPr>
              <w:t>股票名称</w:t>
            </w:r>
          </w:p>
        </w:tc>
        <w:tc>
          <w:tcPr>
            <w:tcW w:w="1417" w:type="dxa"/>
            <w:tcBorders>
              <w:top w:val="single" w:sz="8" w:space="0" w:color="000000"/>
              <w:left w:val="single" w:sz="8" w:space="0" w:color="000000"/>
              <w:bottom w:val="single" w:sz="6" w:space="0" w:color="000000"/>
              <w:right w:val="single" w:sz="8" w:space="0" w:color="000000"/>
            </w:tcBorders>
            <w:vAlign w:val="center"/>
          </w:tcPr>
          <w:p w14:paraId="1CD846E3" w14:textId="77777777" w:rsidR="008A6127" w:rsidRDefault="00437D9F">
            <w:pPr>
              <w:pStyle w:val="biaogecenter"/>
              <w:wordWrap w:val="0"/>
              <w:jc w:val="both"/>
            </w:pPr>
            <w:r>
              <w:rPr>
                <w:rFonts w:hAnsi="Calibri" w:hint="eastAsia"/>
                <w:color w:val="000000"/>
              </w:rPr>
              <w:t>数量(股)</w:t>
            </w:r>
          </w:p>
        </w:tc>
        <w:tc>
          <w:tcPr>
            <w:tcW w:w="1985" w:type="dxa"/>
            <w:tcBorders>
              <w:top w:val="single" w:sz="8" w:space="0" w:color="000000"/>
              <w:left w:val="single" w:sz="8" w:space="0" w:color="000000"/>
              <w:bottom w:val="single" w:sz="6" w:space="0" w:color="000000"/>
              <w:right w:val="single" w:sz="8" w:space="0" w:color="000000"/>
            </w:tcBorders>
            <w:vAlign w:val="center"/>
          </w:tcPr>
          <w:p w14:paraId="30242651" w14:textId="77777777" w:rsidR="008A6127" w:rsidRDefault="00437D9F">
            <w:pPr>
              <w:pStyle w:val="biaogecenter"/>
              <w:wordWrap w:val="0"/>
              <w:ind w:left="0"/>
              <w:jc w:val="both"/>
            </w:pPr>
            <w:r>
              <w:rPr>
                <w:rFonts w:hAnsi="Calibri" w:hint="eastAsia"/>
                <w:color w:val="000000"/>
              </w:rPr>
              <w:t>公允价值(元)</w:t>
            </w:r>
          </w:p>
        </w:tc>
        <w:tc>
          <w:tcPr>
            <w:tcW w:w="1276" w:type="dxa"/>
            <w:tcBorders>
              <w:top w:val="single" w:sz="8" w:space="0" w:color="000000"/>
              <w:left w:val="single" w:sz="8" w:space="0" w:color="000000"/>
              <w:bottom w:val="single" w:sz="6" w:space="0" w:color="000000"/>
              <w:right w:val="single" w:sz="8" w:space="0" w:color="000000"/>
            </w:tcBorders>
            <w:vAlign w:val="center"/>
          </w:tcPr>
          <w:p w14:paraId="75DEBF93" w14:textId="77777777" w:rsidR="008A6127" w:rsidRDefault="00437D9F">
            <w:pPr>
              <w:pStyle w:val="biaogecenter"/>
              <w:wordWrap w:val="0"/>
              <w:ind w:left="0"/>
              <w:jc w:val="both"/>
            </w:pPr>
            <w:r>
              <w:rPr>
                <w:rFonts w:hAnsi="Calibri" w:hint="eastAsia"/>
                <w:color w:val="000000"/>
              </w:rPr>
              <w:t>占基金资产净值比例（％）</w:t>
            </w:r>
          </w:p>
        </w:tc>
      </w:tr>
      <w:tr w:rsidR="00EA216F" w14:paraId="5741B4F1"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26A6D279" w14:textId="77777777" w:rsidR="00EA216F" w:rsidRDefault="00EA216F" w:rsidP="00EA216F">
            <w:pPr>
              <w:pStyle w:val="biaogecenter"/>
              <w:wordWrap w:val="0"/>
              <w:ind w:firstLine="480"/>
            </w:pPr>
            <w:r>
              <w:rPr>
                <w:rFonts w:hAnsi="Calibri" w:hint="eastAsia"/>
                <w:color w:val="000000"/>
              </w:rPr>
              <w:t>1</w:t>
            </w:r>
          </w:p>
        </w:tc>
        <w:tc>
          <w:tcPr>
            <w:tcW w:w="1294" w:type="dxa"/>
            <w:tcBorders>
              <w:top w:val="single" w:sz="8" w:space="0" w:color="000000"/>
              <w:left w:val="single" w:sz="8" w:space="0" w:color="000000"/>
              <w:bottom w:val="single" w:sz="6" w:space="0" w:color="000000"/>
              <w:right w:val="single" w:sz="8" w:space="0" w:color="000000"/>
            </w:tcBorders>
          </w:tcPr>
          <w:p w14:paraId="68E5341C" w14:textId="4A54B1BA" w:rsidR="00EA216F" w:rsidRDefault="00EA216F" w:rsidP="00EA216F">
            <w:pPr>
              <w:pStyle w:val="biaogeleft"/>
              <w:wordWrap w:val="0"/>
            </w:pPr>
            <w:r w:rsidRPr="00B02DC2">
              <w:rPr>
                <w:rFonts w:hint="eastAsia"/>
              </w:rPr>
              <w:t>H00981</w:t>
            </w:r>
          </w:p>
        </w:tc>
        <w:tc>
          <w:tcPr>
            <w:tcW w:w="1418" w:type="dxa"/>
            <w:tcBorders>
              <w:top w:val="single" w:sz="8" w:space="0" w:color="000000"/>
              <w:left w:val="single" w:sz="8" w:space="0" w:color="000000"/>
              <w:bottom w:val="single" w:sz="6" w:space="0" w:color="000000"/>
              <w:right w:val="single" w:sz="8" w:space="0" w:color="000000"/>
            </w:tcBorders>
          </w:tcPr>
          <w:p w14:paraId="3C0D134D" w14:textId="55C9EAA0" w:rsidR="00EA216F" w:rsidRDefault="00EA216F" w:rsidP="00EA216F">
            <w:pPr>
              <w:pStyle w:val="biaogeleft"/>
              <w:wordWrap w:val="0"/>
            </w:pPr>
            <w:proofErr w:type="gramStart"/>
            <w:r w:rsidRPr="00B02DC2">
              <w:rPr>
                <w:rFonts w:hint="eastAsia"/>
              </w:rPr>
              <w:t>中芯国际</w:t>
            </w:r>
            <w:proofErr w:type="gramEnd"/>
          </w:p>
        </w:tc>
        <w:tc>
          <w:tcPr>
            <w:tcW w:w="1417" w:type="dxa"/>
            <w:tcBorders>
              <w:top w:val="single" w:sz="8" w:space="0" w:color="000000"/>
              <w:left w:val="single" w:sz="8" w:space="0" w:color="000000"/>
              <w:bottom w:val="single" w:sz="6" w:space="0" w:color="000000"/>
              <w:right w:val="single" w:sz="8" w:space="0" w:color="000000"/>
            </w:tcBorders>
          </w:tcPr>
          <w:p w14:paraId="5CAA57D9" w14:textId="3E3AE866" w:rsidR="00EA216F" w:rsidRDefault="00EA216F" w:rsidP="00EA216F">
            <w:pPr>
              <w:pStyle w:val="biaogeright"/>
              <w:wordWrap w:val="0"/>
            </w:pPr>
            <w:r w:rsidRPr="00B02DC2">
              <w:rPr>
                <w:rFonts w:hint="eastAsia"/>
              </w:rPr>
              <w:t>2,356,000</w:t>
            </w:r>
          </w:p>
        </w:tc>
        <w:tc>
          <w:tcPr>
            <w:tcW w:w="1985" w:type="dxa"/>
            <w:tcBorders>
              <w:top w:val="single" w:sz="8" w:space="0" w:color="000000"/>
              <w:left w:val="single" w:sz="8" w:space="0" w:color="000000"/>
              <w:bottom w:val="single" w:sz="6" w:space="0" w:color="000000"/>
              <w:right w:val="single" w:sz="8" w:space="0" w:color="000000"/>
            </w:tcBorders>
          </w:tcPr>
          <w:p w14:paraId="0DF908BC" w14:textId="74F25696" w:rsidR="00EA216F" w:rsidRDefault="00EA216F" w:rsidP="00EA216F">
            <w:pPr>
              <w:pStyle w:val="biaogeright"/>
              <w:wordWrap w:val="0"/>
            </w:pPr>
            <w:r w:rsidRPr="00B02DC2">
              <w:rPr>
                <w:rFonts w:hint="eastAsia"/>
              </w:rPr>
              <w:t>182,939,559.72</w:t>
            </w:r>
          </w:p>
        </w:tc>
        <w:tc>
          <w:tcPr>
            <w:tcW w:w="1276" w:type="dxa"/>
            <w:tcBorders>
              <w:top w:val="single" w:sz="8" w:space="0" w:color="000000"/>
              <w:left w:val="single" w:sz="8" w:space="0" w:color="000000"/>
              <w:bottom w:val="single" w:sz="6" w:space="0" w:color="000000"/>
              <w:right w:val="single" w:sz="8" w:space="0" w:color="000000"/>
            </w:tcBorders>
          </w:tcPr>
          <w:p w14:paraId="25D0D32A" w14:textId="0FF0A7EA" w:rsidR="00EA216F" w:rsidRDefault="00EA216F" w:rsidP="00EA216F">
            <w:pPr>
              <w:pStyle w:val="biaogeright"/>
              <w:wordWrap w:val="0"/>
            </w:pPr>
            <w:r w:rsidRPr="00B02DC2">
              <w:rPr>
                <w:rFonts w:hint="eastAsia"/>
              </w:rPr>
              <w:t>9.95</w:t>
            </w:r>
          </w:p>
        </w:tc>
      </w:tr>
      <w:tr w:rsidR="00EA216F" w14:paraId="43E5E938"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0EC774B8" w14:textId="77777777" w:rsidR="00EA216F" w:rsidRDefault="00EA216F" w:rsidP="00EA216F">
            <w:pPr>
              <w:pStyle w:val="biaogecenter"/>
              <w:wordWrap w:val="0"/>
              <w:ind w:firstLine="480"/>
            </w:pPr>
            <w:r>
              <w:rPr>
                <w:rFonts w:hAnsi="Calibri" w:hint="eastAsia"/>
                <w:color w:val="000000"/>
              </w:rPr>
              <w:t>2</w:t>
            </w:r>
          </w:p>
        </w:tc>
        <w:tc>
          <w:tcPr>
            <w:tcW w:w="1294" w:type="dxa"/>
            <w:tcBorders>
              <w:top w:val="single" w:sz="8" w:space="0" w:color="000000"/>
              <w:left w:val="single" w:sz="8" w:space="0" w:color="000000"/>
              <w:bottom w:val="single" w:sz="6" w:space="0" w:color="000000"/>
              <w:right w:val="single" w:sz="8" w:space="0" w:color="000000"/>
            </w:tcBorders>
          </w:tcPr>
          <w:p w14:paraId="14D5714A" w14:textId="1E667362" w:rsidR="00EA216F" w:rsidRDefault="00EA216F" w:rsidP="00EA216F">
            <w:pPr>
              <w:pStyle w:val="biaogeleft"/>
              <w:wordWrap w:val="0"/>
            </w:pPr>
            <w:r w:rsidRPr="00B02DC2">
              <w:rPr>
                <w:rFonts w:hint="eastAsia"/>
              </w:rPr>
              <w:t>002001</w:t>
            </w:r>
          </w:p>
        </w:tc>
        <w:tc>
          <w:tcPr>
            <w:tcW w:w="1418" w:type="dxa"/>
            <w:tcBorders>
              <w:top w:val="single" w:sz="8" w:space="0" w:color="000000"/>
              <w:left w:val="single" w:sz="8" w:space="0" w:color="000000"/>
              <w:bottom w:val="single" w:sz="6" w:space="0" w:color="000000"/>
              <w:right w:val="single" w:sz="8" w:space="0" w:color="000000"/>
            </w:tcBorders>
          </w:tcPr>
          <w:p w14:paraId="5B67F16F" w14:textId="5B6532FE" w:rsidR="00EA216F" w:rsidRDefault="00EA216F" w:rsidP="00EA216F">
            <w:pPr>
              <w:pStyle w:val="biaogeleft"/>
              <w:wordWrap w:val="0"/>
            </w:pPr>
            <w:r w:rsidRPr="00B02DC2">
              <w:rPr>
                <w:rFonts w:hint="eastAsia"/>
              </w:rPr>
              <w:t>新 和 成</w:t>
            </w:r>
          </w:p>
        </w:tc>
        <w:tc>
          <w:tcPr>
            <w:tcW w:w="1417" w:type="dxa"/>
            <w:tcBorders>
              <w:top w:val="single" w:sz="8" w:space="0" w:color="000000"/>
              <w:left w:val="single" w:sz="8" w:space="0" w:color="000000"/>
              <w:bottom w:val="single" w:sz="6" w:space="0" w:color="000000"/>
              <w:right w:val="single" w:sz="8" w:space="0" w:color="000000"/>
            </w:tcBorders>
          </w:tcPr>
          <w:p w14:paraId="3DA60917" w14:textId="5462238C" w:rsidR="00EA216F" w:rsidRDefault="00EA216F" w:rsidP="00EA216F">
            <w:pPr>
              <w:pStyle w:val="biaogeright"/>
              <w:wordWrap w:val="0"/>
            </w:pPr>
            <w:r w:rsidRPr="00B02DC2">
              <w:rPr>
                <w:rFonts w:hint="eastAsia"/>
              </w:rPr>
              <w:t>4,718,086</w:t>
            </w:r>
          </w:p>
        </w:tc>
        <w:tc>
          <w:tcPr>
            <w:tcW w:w="1985" w:type="dxa"/>
            <w:tcBorders>
              <w:top w:val="single" w:sz="8" w:space="0" w:color="000000"/>
              <w:left w:val="single" w:sz="8" w:space="0" w:color="000000"/>
              <w:bottom w:val="single" w:sz="6" w:space="0" w:color="000000"/>
              <w:right w:val="single" w:sz="8" w:space="0" w:color="000000"/>
            </w:tcBorders>
          </w:tcPr>
          <w:p w14:paraId="25B78210" w14:textId="53FA9391" w:rsidR="00EA216F" w:rsidRDefault="00EA216F" w:rsidP="00EA216F">
            <w:pPr>
              <w:pStyle w:val="biaogeright"/>
              <w:wordWrap w:val="0"/>
            </w:pPr>
            <w:r w:rsidRPr="00B02DC2">
              <w:rPr>
                <w:rFonts w:hint="eastAsia"/>
              </w:rPr>
              <w:t>134,088,004.12</w:t>
            </w:r>
          </w:p>
        </w:tc>
        <w:tc>
          <w:tcPr>
            <w:tcW w:w="1276" w:type="dxa"/>
            <w:tcBorders>
              <w:top w:val="single" w:sz="8" w:space="0" w:color="000000"/>
              <w:left w:val="single" w:sz="8" w:space="0" w:color="000000"/>
              <w:bottom w:val="single" w:sz="6" w:space="0" w:color="000000"/>
              <w:right w:val="single" w:sz="8" w:space="0" w:color="000000"/>
            </w:tcBorders>
          </w:tcPr>
          <w:p w14:paraId="0C0556F7" w14:textId="4EFBF61F" w:rsidR="00EA216F" w:rsidRDefault="00EA216F" w:rsidP="00EA216F">
            <w:pPr>
              <w:pStyle w:val="biaogeright"/>
              <w:wordWrap w:val="0"/>
            </w:pPr>
            <w:r w:rsidRPr="00B02DC2">
              <w:rPr>
                <w:rFonts w:hint="eastAsia"/>
              </w:rPr>
              <w:t>7.29</w:t>
            </w:r>
          </w:p>
        </w:tc>
      </w:tr>
      <w:tr w:rsidR="00EA216F" w14:paraId="102C9223"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6630D89E" w14:textId="77777777" w:rsidR="00EA216F" w:rsidRDefault="00EA216F" w:rsidP="00EA216F">
            <w:pPr>
              <w:pStyle w:val="biaogecenter"/>
              <w:wordWrap w:val="0"/>
              <w:ind w:firstLine="480"/>
            </w:pPr>
            <w:r>
              <w:rPr>
                <w:rFonts w:hAnsi="Calibri" w:hint="eastAsia"/>
                <w:color w:val="000000"/>
              </w:rPr>
              <w:lastRenderedPageBreak/>
              <w:t>3</w:t>
            </w:r>
          </w:p>
        </w:tc>
        <w:tc>
          <w:tcPr>
            <w:tcW w:w="1294" w:type="dxa"/>
            <w:tcBorders>
              <w:top w:val="single" w:sz="8" w:space="0" w:color="000000"/>
              <w:left w:val="single" w:sz="8" w:space="0" w:color="000000"/>
              <w:bottom w:val="single" w:sz="6" w:space="0" w:color="000000"/>
              <w:right w:val="single" w:sz="8" w:space="0" w:color="000000"/>
            </w:tcBorders>
          </w:tcPr>
          <w:p w14:paraId="7AF305FA" w14:textId="331DD1F0" w:rsidR="00EA216F" w:rsidRDefault="00EA216F" w:rsidP="00EA216F">
            <w:pPr>
              <w:pStyle w:val="biaogeleft"/>
              <w:wordWrap w:val="0"/>
            </w:pPr>
            <w:r w:rsidRPr="00B02DC2">
              <w:rPr>
                <w:rFonts w:hint="eastAsia"/>
              </w:rPr>
              <w:t>002938</w:t>
            </w:r>
          </w:p>
        </w:tc>
        <w:tc>
          <w:tcPr>
            <w:tcW w:w="1418" w:type="dxa"/>
            <w:tcBorders>
              <w:top w:val="single" w:sz="8" w:space="0" w:color="000000"/>
              <w:left w:val="single" w:sz="8" w:space="0" w:color="000000"/>
              <w:bottom w:val="single" w:sz="6" w:space="0" w:color="000000"/>
              <w:right w:val="single" w:sz="8" w:space="0" w:color="000000"/>
            </w:tcBorders>
          </w:tcPr>
          <w:p w14:paraId="58394D31" w14:textId="1A0BB364" w:rsidR="00EA216F" w:rsidRDefault="00EA216F" w:rsidP="00EA216F">
            <w:pPr>
              <w:pStyle w:val="biaogeleft"/>
              <w:wordWrap w:val="0"/>
            </w:pPr>
            <w:proofErr w:type="gramStart"/>
            <w:r w:rsidRPr="00B02DC2">
              <w:rPr>
                <w:rFonts w:hint="eastAsia"/>
              </w:rPr>
              <w:t>鹏鼎控股</w:t>
            </w:r>
            <w:proofErr w:type="gramEnd"/>
          </w:p>
        </w:tc>
        <w:tc>
          <w:tcPr>
            <w:tcW w:w="1417" w:type="dxa"/>
            <w:tcBorders>
              <w:top w:val="single" w:sz="8" w:space="0" w:color="000000"/>
              <w:left w:val="single" w:sz="8" w:space="0" w:color="000000"/>
              <w:bottom w:val="single" w:sz="6" w:space="0" w:color="000000"/>
              <w:right w:val="single" w:sz="8" w:space="0" w:color="000000"/>
            </w:tcBorders>
          </w:tcPr>
          <w:p w14:paraId="295336EE" w14:textId="4DEDB694" w:rsidR="00EA216F" w:rsidRDefault="00EA216F" w:rsidP="00EA216F">
            <w:pPr>
              <w:pStyle w:val="biaogeright"/>
              <w:wordWrap w:val="0"/>
            </w:pPr>
            <w:r w:rsidRPr="00B02DC2">
              <w:rPr>
                <w:rFonts w:hint="eastAsia"/>
              </w:rPr>
              <w:t>1,271,700</w:t>
            </w:r>
          </w:p>
        </w:tc>
        <w:tc>
          <w:tcPr>
            <w:tcW w:w="1985" w:type="dxa"/>
            <w:tcBorders>
              <w:top w:val="single" w:sz="8" w:space="0" w:color="000000"/>
              <w:left w:val="single" w:sz="8" w:space="0" w:color="000000"/>
              <w:bottom w:val="single" w:sz="6" w:space="0" w:color="000000"/>
              <w:right w:val="single" w:sz="8" w:space="0" w:color="000000"/>
            </w:tcBorders>
          </w:tcPr>
          <w:p w14:paraId="786F120A" w14:textId="33822EE6" w:rsidR="00EA216F" w:rsidRDefault="00EA216F" w:rsidP="00EA216F">
            <w:pPr>
              <w:pStyle w:val="biaogeright"/>
              <w:wordWrap w:val="0"/>
            </w:pPr>
            <w:r w:rsidRPr="00B02DC2">
              <w:rPr>
                <w:rFonts w:hint="eastAsia"/>
              </w:rPr>
              <w:t>134,011,746.00</w:t>
            </w:r>
          </w:p>
        </w:tc>
        <w:tc>
          <w:tcPr>
            <w:tcW w:w="1276" w:type="dxa"/>
            <w:tcBorders>
              <w:top w:val="single" w:sz="8" w:space="0" w:color="000000"/>
              <w:left w:val="single" w:sz="8" w:space="0" w:color="000000"/>
              <w:bottom w:val="single" w:sz="6" w:space="0" w:color="000000"/>
              <w:right w:val="single" w:sz="8" w:space="0" w:color="000000"/>
            </w:tcBorders>
          </w:tcPr>
          <w:p w14:paraId="5813F1B5" w14:textId="244DECF2" w:rsidR="00EA216F" w:rsidRDefault="00EA216F" w:rsidP="00EA216F">
            <w:pPr>
              <w:pStyle w:val="biaogeright"/>
              <w:wordWrap w:val="0"/>
            </w:pPr>
            <w:r w:rsidRPr="00B02DC2">
              <w:rPr>
                <w:rFonts w:hint="eastAsia"/>
              </w:rPr>
              <w:t>7.29</w:t>
            </w:r>
          </w:p>
        </w:tc>
      </w:tr>
      <w:tr w:rsidR="00EA216F" w14:paraId="24D48FED"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18EEF2FA" w14:textId="77777777" w:rsidR="00EA216F" w:rsidRDefault="00EA216F" w:rsidP="00EA216F">
            <w:pPr>
              <w:pStyle w:val="biaogecenter"/>
              <w:wordWrap w:val="0"/>
              <w:ind w:firstLine="480"/>
            </w:pPr>
            <w:r>
              <w:rPr>
                <w:rFonts w:hAnsi="Calibri" w:hint="eastAsia"/>
                <w:color w:val="000000"/>
              </w:rPr>
              <w:t>4</w:t>
            </w:r>
          </w:p>
        </w:tc>
        <w:tc>
          <w:tcPr>
            <w:tcW w:w="1294" w:type="dxa"/>
            <w:tcBorders>
              <w:top w:val="single" w:sz="8" w:space="0" w:color="000000"/>
              <w:left w:val="single" w:sz="8" w:space="0" w:color="000000"/>
              <w:bottom w:val="single" w:sz="6" w:space="0" w:color="000000"/>
              <w:right w:val="single" w:sz="8" w:space="0" w:color="000000"/>
            </w:tcBorders>
          </w:tcPr>
          <w:p w14:paraId="21EC2562" w14:textId="5C87CD04" w:rsidR="00EA216F" w:rsidRDefault="00EA216F" w:rsidP="00EA216F">
            <w:pPr>
              <w:pStyle w:val="biaogeleft"/>
              <w:wordWrap w:val="0"/>
            </w:pPr>
            <w:r w:rsidRPr="00B02DC2">
              <w:rPr>
                <w:rFonts w:hint="eastAsia"/>
              </w:rPr>
              <w:t>600183</w:t>
            </w:r>
          </w:p>
        </w:tc>
        <w:tc>
          <w:tcPr>
            <w:tcW w:w="1418" w:type="dxa"/>
            <w:tcBorders>
              <w:top w:val="single" w:sz="8" w:space="0" w:color="000000"/>
              <w:left w:val="single" w:sz="8" w:space="0" w:color="000000"/>
              <w:bottom w:val="single" w:sz="6" w:space="0" w:color="000000"/>
              <w:right w:val="single" w:sz="8" w:space="0" w:color="000000"/>
            </w:tcBorders>
          </w:tcPr>
          <w:p w14:paraId="7B62DBCB" w14:textId="60D0E8C5" w:rsidR="00EA216F" w:rsidRDefault="00EA216F" w:rsidP="00EA216F">
            <w:pPr>
              <w:pStyle w:val="biaogeleft"/>
              <w:wordWrap w:val="0"/>
            </w:pPr>
            <w:r w:rsidRPr="00B02DC2">
              <w:rPr>
                <w:rFonts w:hint="eastAsia"/>
              </w:rPr>
              <w:t>生</w:t>
            </w:r>
            <w:proofErr w:type="gramStart"/>
            <w:r w:rsidRPr="00B02DC2">
              <w:rPr>
                <w:rFonts w:hint="eastAsia"/>
              </w:rPr>
              <w:t>益科技</w:t>
            </w:r>
            <w:proofErr w:type="gramEnd"/>
          </w:p>
        </w:tc>
        <w:tc>
          <w:tcPr>
            <w:tcW w:w="1417" w:type="dxa"/>
            <w:tcBorders>
              <w:top w:val="single" w:sz="8" w:space="0" w:color="000000"/>
              <w:left w:val="single" w:sz="8" w:space="0" w:color="000000"/>
              <w:bottom w:val="single" w:sz="6" w:space="0" w:color="000000"/>
              <w:right w:val="single" w:sz="8" w:space="0" w:color="000000"/>
            </w:tcBorders>
          </w:tcPr>
          <w:p w14:paraId="1A96E79F" w14:textId="497EB0FF" w:rsidR="00EA216F" w:rsidRDefault="00EA216F" w:rsidP="00EA216F">
            <w:pPr>
              <w:pStyle w:val="biaogeright"/>
              <w:wordWrap w:val="0"/>
            </w:pPr>
            <w:r w:rsidRPr="00B02DC2">
              <w:rPr>
                <w:rFonts w:hint="eastAsia"/>
              </w:rPr>
              <w:t>627,834</w:t>
            </w:r>
          </w:p>
        </w:tc>
        <w:tc>
          <w:tcPr>
            <w:tcW w:w="1985" w:type="dxa"/>
            <w:tcBorders>
              <w:top w:val="single" w:sz="8" w:space="0" w:color="000000"/>
              <w:left w:val="single" w:sz="8" w:space="0" w:color="000000"/>
              <w:bottom w:val="single" w:sz="6" w:space="0" w:color="000000"/>
              <w:right w:val="single" w:sz="8" w:space="0" w:color="000000"/>
            </w:tcBorders>
          </w:tcPr>
          <w:p w14:paraId="2A406F64" w14:textId="1C5901E7" w:rsidR="00EA216F" w:rsidRDefault="00EA216F" w:rsidP="00EA216F">
            <w:pPr>
              <w:pStyle w:val="biaogeright"/>
              <w:wordWrap w:val="0"/>
            </w:pPr>
            <w:r w:rsidRPr="00B02DC2">
              <w:rPr>
                <w:rFonts w:hint="eastAsia"/>
              </w:rPr>
              <w:t>108,866,415.60</w:t>
            </w:r>
          </w:p>
        </w:tc>
        <w:tc>
          <w:tcPr>
            <w:tcW w:w="1276" w:type="dxa"/>
            <w:tcBorders>
              <w:top w:val="single" w:sz="8" w:space="0" w:color="000000"/>
              <w:left w:val="single" w:sz="8" w:space="0" w:color="000000"/>
              <w:bottom w:val="single" w:sz="6" w:space="0" w:color="000000"/>
              <w:right w:val="single" w:sz="8" w:space="0" w:color="000000"/>
            </w:tcBorders>
          </w:tcPr>
          <w:p w14:paraId="04FE24C0" w14:textId="1DAAB78A" w:rsidR="00EA216F" w:rsidRDefault="00EA216F" w:rsidP="00EA216F">
            <w:pPr>
              <w:pStyle w:val="biaogeright"/>
              <w:wordWrap w:val="0"/>
            </w:pPr>
            <w:r w:rsidRPr="00B02DC2">
              <w:rPr>
                <w:rFonts w:hint="eastAsia"/>
              </w:rPr>
              <w:t>5.92</w:t>
            </w:r>
          </w:p>
        </w:tc>
      </w:tr>
      <w:tr w:rsidR="00EA216F" w14:paraId="6C28FA78"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09A23717" w14:textId="77777777" w:rsidR="00EA216F" w:rsidRDefault="00EA216F" w:rsidP="00EA216F">
            <w:pPr>
              <w:pStyle w:val="biaogecenter"/>
              <w:wordWrap w:val="0"/>
              <w:ind w:firstLine="480"/>
            </w:pPr>
            <w:r>
              <w:rPr>
                <w:rFonts w:hAnsi="Calibri" w:hint="eastAsia"/>
                <w:color w:val="000000"/>
              </w:rPr>
              <w:t>5</w:t>
            </w:r>
          </w:p>
        </w:tc>
        <w:tc>
          <w:tcPr>
            <w:tcW w:w="1294" w:type="dxa"/>
            <w:tcBorders>
              <w:top w:val="single" w:sz="8" w:space="0" w:color="000000"/>
              <w:left w:val="single" w:sz="8" w:space="0" w:color="000000"/>
              <w:bottom w:val="single" w:sz="6" w:space="0" w:color="000000"/>
              <w:right w:val="single" w:sz="8" w:space="0" w:color="000000"/>
            </w:tcBorders>
          </w:tcPr>
          <w:p w14:paraId="2F28257A" w14:textId="394FDA96" w:rsidR="00EA216F" w:rsidRDefault="00EA216F" w:rsidP="00EA216F">
            <w:pPr>
              <w:pStyle w:val="biaogeleft"/>
              <w:wordWrap w:val="0"/>
            </w:pPr>
            <w:r w:rsidRPr="00B02DC2">
              <w:rPr>
                <w:rFonts w:hint="eastAsia"/>
              </w:rPr>
              <w:t>002028</w:t>
            </w:r>
          </w:p>
        </w:tc>
        <w:tc>
          <w:tcPr>
            <w:tcW w:w="1418" w:type="dxa"/>
            <w:tcBorders>
              <w:top w:val="single" w:sz="8" w:space="0" w:color="000000"/>
              <w:left w:val="single" w:sz="8" w:space="0" w:color="000000"/>
              <w:bottom w:val="single" w:sz="6" w:space="0" w:color="000000"/>
              <w:right w:val="single" w:sz="8" w:space="0" w:color="000000"/>
            </w:tcBorders>
          </w:tcPr>
          <w:p w14:paraId="32329509" w14:textId="478181D6" w:rsidR="00EA216F" w:rsidRDefault="00EA216F" w:rsidP="00EA216F">
            <w:pPr>
              <w:pStyle w:val="biaogeleft"/>
              <w:wordWrap w:val="0"/>
            </w:pPr>
            <w:r w:rsidRPr="00B02DC2">
              <w:rPr>
                <w:rFonts w:hint="eastAsia"/>
              </w:rPr>
              <w:t>思源电气</w:t>
            </w:r>
          </w:p>
        </w:tc>
        <w:tc>
          <w:tcPr>
            <w:tcW w:w="1417" w:type="dxa"/>
            <w:tcBorders>
              <w:top w:val="single" w:sz="8" w:space="0" w:color="000000"/>
              <w:left w:val="single" w:sz="8" w:space="0" w:color="000000"/>
              <w:bottom w:val="single" w:sz="6" w:space="0" w:color="000000"/>
              <w:right w:val="single" w:sz="8" w:space="0" w:color="000000"/>
            </w:tcBorders>
          </w:tcPr>
          <w:p w14:paraId="598C3A55" w14:textId="4E5EC44F" w:rsidR="00EA216F" w:rsidRDefault="00EA216F" w:rsidP="00EA216F">
            <w:pPr>
              <w:pStyle w:val="biaogeright"/>
              <w:wordWrap w:val="0"/>
            </w:pPr>
            <w:r w:rsidRPr="00B02DC2">
              <w:rPr>
                <w:rFonts w:hint="eastAsia"/>
              </w:rPr>
              <w:t>500,254</w:t>
            </w:r>
          </w:p>
        </w:tc>
        <w:tc>
          <w:tcPr>
            <w:tcW w:w="1985" w:type="dxa"/>
            <w:tcBorders>
              <w:top w:val="single" w:sz="8" w:space="0" w:color="000000"/>
              <w:left w:val="single" w:sz="8" w:space="0" w:color="000000"/>
              <w:bottom w:val="single" w:sz="6" w:space="0" w:color="000000"/>
              <w:right w:val="single" w:sz="8" w:space="0" w:color="000000"/>
            </w:tcBorders>
          </w:tcPr>
          <w:p w14:paraId="73A6B454" w14:textId="249DF52D" w:rsidR="00EA216F" w:rsidRDefault="00EA216F" w:rsidP="00EA216F">
            <w:pPr>
              <w:pStyle w:val="biaogeright"/>
              <w:wordWrap w:val="0"/>
            </w:pPr>
            <w:r w:rsidRPr="00B02DC2">
              <w:rPr>
                <w:rFonts w:hint="eastAsia"/>
              </w:rPr>
              <w:t>86,543,942.00</w:t>
            </w:r>
          </w:p>
        </w:tc>
        <w:tc>
          <w:tcPr>
            <w:tcW w:w="1276" w:type="dxa"/>
            <w:tcBorders>
              <w:top w:val="single" w:sz="8" w:space="0" w:color="000000"/>
              <w:left w:val="single" w:sz="8" w:space="0" w:color="000000"/>
              <w:bottom w:val="single" w:sz="6" w:space="0" w:color="000000"/>
              <w:right w:val="single" w:sz="8" w:space="0" w:color="000000"/>
            </w:tcBorders>
          </w:tcPr>
          <w:p w14:paraId="5D60F878" w14:textId="5AD37718" w:rsidR="00EA216F" w:rsidRDefault="00EA216F" w:rsidP="00EA216F">
            <w:pPr>
              <w:pStyle w:val="biaogeright"/>
              <w:wordWrap w:val="0"/>
            </w:pPr>
            <w:r w:rsidRPr="00B02DC2">
              <w:rPr>
                <w:rFonts w:hint="eastAsia"/>
              </w:rPr>
              <w:t>4.71</w:t>
            </w:r>
          </w:p>
        </w:tc>
      </w:tr>
      <w:tr w:rsidR="00EA216F" w14:paraId="64594880"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7B1DB67D" w14:textId="77777777" w:rsidR="00EA216F" w:rsidRDefault="00EA216F" w:rsidP="00EA216F">
            <w:pPr>
              <w:pStyle w:val="biaogecenter"/>
              <w:wordWrap w:val="0"/>
              <w:ind w:firstLine="480"/>
            </w:pPr>
            <w:r>
              <w:rPr>
                <w:rFonts w:hAnsi="Calibri" w:hint="eastAsia"/>
                <w:color w:val="000000"/>
              </w:rPr>
              <w:t>6</w:t>
            </w:r>
          </w:p>
        </w:tc>
        <w:tc>
          <w:tcPr>
            <w:tcW w:w="1294" w:type="dxa"/>
            <w:tcBorders>
              <w:top w:val="single" w:sz="8" w:space="0" w:color="000000"/>
              <w:left w:val="single" w:sz="8" w:space="0" w:color="000000"/>
              <w:bottom w:val="single" w:sz="6" w:space="0" w:color="000000"/>
              <w:right w:val="single" w:sz="8" w:space="0" w:color="000000"/>
            </w:tcBorders>
          </w:tcPr>
          <w:p w14:paraId="3DEEE501" w14:textId="7D8CB2F3" w:rsidR="00EA216F" w:rsidRDefault="00EA216F" w:rsidP="00EA216F">
            <w:pPr>
              <w:pStyle w:val="biaogeleft"/>
              <w:wordWrap w:val="0"/>
            </w:pPr>
            <w:r w:rsidRPr="00B02DC2">
              <w:rPr>
                <w:rFonts w:hint="eastAsia"/>
              </w:rPr>
              <w:t>601126</w:t>
            </w:r>
          </w:p>
        </w:tc>
        <w:tc>
          <w:tcPr>
            <w:tcW w:w="1418" w:type="dxa"/>
            <w:tcBorders>
              <w:top w:val="single" w:sz="8" w:space="0" w:color="000000"/>
              <w:left w:val="single" w:sz="8" w:space="0" w:color="000000"/>
              <w:bottom w:val="single" w:sz="6" w:space="0" w:color="000000"/>
              <w:right w:val="single" w:sz="8" w:space="0" w:color="000000"/>
            </w:tcBorders>
          </w:tcPr>
          <w:p w14:paraId="10D41A21" w14:textId="19BA0F50" w:rsidR="00EA216F" w:rsidRDefault="00EA216F" w:rsidP="00EA216F">
            <w:pPr>
              <w:pStyle w:val="biaogeleft"/>
              <w:wordWrap w:val="0"/>
            </w:pPr>
            <w:r w:rsidRPr="00B02DC2">
              <w:rPr>
                <w:rFonts w:hint="eastAsia"/>
              </w:rPr>
              <w:t>四方股份</w:t>
            </w:r>
          </w:p>
        </w:tc>
        <w:tc>
          <w:tcPr>
            <w:tcW w:w="1417" w:type="dxa"/>
            <w:tcBorders>
              <w:top w:val="single" w:sz="8" w:space="0" w:color="000000"/>
              <w:left w:val="single" w:sz="8" w:space="0" w:color="000000"/>
              <w:bottom w:val="single" w:sz="6" w:space="0" w:color="000000"/>
              <w:right w:val="single" w:sz="8" w:space="0" w:color="000000"/>
            </w:tcBorders>
          </w:tcPr>
          <w:p w14:paraId="33FB1165" w14:textId="11EA2D6F" w:rsidR="00EA216F" w:rsidRDefault="00EA216F" w:rsidP="00EA216F">
            <w:pPr>
              <w:pStyle w:val="biaogeright"/>
              <w:wordWrap w:val="0"/>
            </w:pPr>
            <w:r w:rsidRPr="00B02DC2">
              <w:rPr>
                <w:rFonts w:hint="eastAsia"/>
              </w:rPr>
              <w:t>1,316,147</w:t>
            </w:r>
          </w:p>
        </w:tc>
        <w:tc>
          <w:tcPr>
            <w:tcW w:w="1985" w:type="dxa"/>
            <w:tcBorders>
              <w:top w:val="single" w:sz="8" w:space="0" w:color="000000"/>
              <w:left w:val="single" w:sz="8" w:space="0" w:color="000000"/>
              <w:bottom w:val="single" w:sz="6" w:space="0" w:color="000000"/>
              <w:right w:val="single" w:sz="8" w:space="0" w:color="000000"/>
            </w:tcBorders>
          </w:tcPr>
          <w:p w14:paraId="41D72C61" w14:textId="5FDDA5BB" w:rsidR="00EA216F" w:rsidRDefault="00EA216F" w:rsidP="00EA216F">
            <w:pPr>
              <w:pStyle w:val="biaogeright"/>
              <w:wordWrap w:val="0"/>
            </w:pPr>
            <w:r w:rsidRPr="00B02DC2">
              <w:rPr>
                <w:rFonts w:hint="eastAsia"/>
              </w:rPr>
              <w:t>83,180,490.40</w:t>
            </w:r>
          </w:p>
        </w:tc>
        <w:tc>
          <w:tcPr>
            <w:tcW w:w="1276" w:type="dxa"/>
            <w:tcBorders>
              <w:top w:val="single" w:sz="8" w:space="0" w:color="000000"/>
              <w:left w:val="single" w:sz="8" w:space="0" w:color="000000"/>
              <w:bottom w:val="single" w:sz="6" w:space="0" w:color="000000"/>
              <w:right w:val="single" w:sz="8" w:space="0" w:color="000000"/>
            </w:tcBorders>
          </w:tcPr>
          <w:p w14:paraId="76CE5329" w14:textId="552BEFCB" w:rsidR="00EA216F" w:rsidRDefault="00EA216F" w:rsidP="00EA216F">
            <w:pPr>
              <w:pStyle w:val="biaogeright"/>
              <w:wordWrap w:val="0"/>
            </w:pPr>
            <w:r w:rsidRPr="00B02DC2">
              <w:rPr>
                <w:rFonts w:hint="eastAsia"/>
              </w:rPr>
              <w:t>4.52</w:t>
            </w:r>
          </w:p>
        </w:tc>
      </w:tr>
      <w:tr w:rsidR="00EA216F" w14:paraId="1963764E"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503F3309" w14:textId="77777777" w:rsidR="00EA216F" w:rsidRDefault="00EA216F" w:rsidP="00EA216F">
            <w:pPr>
              <w:pStyle w:val="biaogecenter"/>
              <w:wordWrap w:val="0"/>
              <w:ind w:firstLine="480"/>
            </w:pPr>
            <w:r>
              <w:rPr>
                <w:rFonts w:hAnsi="Calibri" w:hint="eastAsia"/>
                <w:color w:val="000000"/>
              </w:rPr>
              <w:t>7</w:t>
            </w:r>
          </w:p>
        </w:tc>
        <w:tc>
          <w:tcPr>
            <w:tcW w:w="1294" w:type="dxa"/>
            <w:tcBorders>
              <w:top w:val="single" w:sz="8" w:space="0" w:color="000000"/>
              <w:left w:val="single" w:sz="8" w:space="0" w:color="000000"/>
              <w:bottom w:val="single" w:sz="6" w:space="0" w:color="000000"/>
              <w:right w:val="single" w:sz="8" w:space="0" w:color="000000"/>
            </w:tcBorders>
          </w:tcPr>
          <w:p w14:paraId="2395C6A0" w14:textId="119B1810" w:rsidR="00EA216F" w:rsidRDefault="00EA216F" w:rsidP="00EA216F">
            <w:pPr>
              <w:pStyle w:val="biaogeleft"/>
              <w:wordWrap w:val="0"/>
            </w:pPr>
            <w:r w:rsidRPr="00B02DC2">
              <w:rPr>
                <w:rFonts w:hint="eastAsia"/>
              </w:rPr>
              <w:t>688012</w:t>
            </w:r>
          </w:p>
        </w:tc>
        <w:tc>
          <w:tcPr>
            <w:tcW w:w="1418" w:type="dxa"/>
            <w:tcBorders>
              <w:top w:val="single" w:sz="8" w:space="0" w:color="000000"/>
              <w:left w:val="single" w:sz="8" w:space="0" w:color="000000"/>
              <w:bottom w:val="single" w:sz="6" w:space="0" w:color="000000"/>
              <w:right w:val="single" w:sz="8" w:space="0" w:color="000000"/>
            </w:tcBorders>
          </w:tcPr>
          <w:p w14:paraId="43F1A03F" w14:textId="05F6E513" w:rsidR="00EA216F" w:rsidRDefault="00EA216F" w:rsidP="00EA216F">
            <w:pPr>
              <w:pStyle w:val="biaogeleft"/>
              <w:wordWrap w:val="0"/>
            </w:pPr>
            <w:r w:rsidRPr="00B02DC2">
              <w:rPr>
                <w:rFonts w:hint="eastAsia"/>
              </w:rPr>
              <w:t>中</w:t>
            </w:r>
            <w:proofErr w:type="gramStart"/>
            <w:r w:rsidRPr="00B02DC2">
              <w:rPr>
                <w:rFonts w:hint="eastAsia"/>
              </w:rPr>
              <w:t>微公司</w:t>
            </w:r>
            <w:proofErr w:type="gramEnd"/>
          </w:p>
        </w:tc>
        <w:tc>
          <w:tcPr>
            <w:tcW w:w="1417" w:type="dxa"/>
            <w:tcBorders>
              <w:top w:val="single" w:sz="8" w:space="0" w:color="000000"/>
              <w:left w:val="single" w:sz="8" w:space="0" w:color="000000"/>
              <w:bottom w:val="single" w:sz="6" w:space="0" w:color="000000"/>
              <w:right w:val="single" w:sz="8" w:space="0" w:color="000000"/>
            </w:tcBorders>
          </w:tcPr>
          <w:p w14:paraId="279D6C9A" w14:textId="6BBEB369" w:rsidR="00EA216F" w:rsidRDefault="00EA216F" w:rsidP="00EA216F">
            <w:pPr>
              <w:pStyle w:val="biaogeright"/>
              <w:wordWrap w:val="0"/>
            </w:pPr>
            <w:r w:rsidRPr="00B02DC2">
              <w:rPr>
                <w:rFonts w:hint="eastAsia"/>
              </w:rPr>
              <w:t>172,968</w:t>
            </w:r>
          </w:p>
        </w:tc>
        <w:tc>
          <w:tcPr>
            <w:tcW w:w="1985" w:type="dxa"/>
            <w:tcBorders>
              <w:top w:val="single" w:sz="8" w:space="0" w:color="000000"/>
              <w:left w:val="single" w:sz="8" w:space="0" w:color="000000"/>
              <w:bottom w:val="single" w:sz="6" w:space="0" w:color="000000"/>
              <w:right w:val="single" w:sz="8" w:space="0" w:color="000000"/>
            </w:tcBorders>
          </w:tcPr>
          <w:p w14:paraId="5D5C1002" w14:textId="0DF5B51D" w:rsidR="00EA216F" w:rsidRDefault="00EA216F" w:rsidP="00EA216F">
            <w:pPr>
              <w:pStyle w:val="biaogeright"/>
              <w:wordWrap w:val="0"/>
            </w:pPr>
            <w:r w:rsidRPr="00B02DC2">
              <w:rPr>
                <w:rFonts w:hint="eastAsia"/>
              </w:rPr>
              <w:t>81,035,508.00</w:t>
            </w:r>
          </w:p>
        </w:tc>
        <w:tc>
          <w:tcPr>
            <w:tcW w:w="1276" w:type="dxa"/>
            <w:tcBorders>
              <w:top w:val="single" w:sz="8" w:space="0" w:color="000000"/>
              <w:left w:val="single" w:sz="8" w:space="0" w:color="000000"/>
              <w:bottom w:val="single" w:sz="6" w:space="0" w:color="000000"/>
              <w:right w:val="single" w:sz="8" w:space="0" w:color="000000"/>
            </w:tcBorders>
          </w:tcPr>
          <w:p w14:paraId="2FDF022E" w14:textId="2631D7A7" w:rsidR="00EA216F" w:rsidRDefault="00EA216F" w:rsidP="00EA216F">
            <w:pPr>
              <w:pStyle w:val="biaogeright"/>
              <w:wordWrap w:val="0"/>
            </w:pPr>
            <w:r w:rsidRPr="00B02DC2">
              <w:rPr>
                <w:rFonts w:hint="eastAsia"/>
              </w:rPr>
              <w:t>4.41</w:t>
            </w:r>
          </w:p>
        </w:tc>
      </w:tr>
      <w:tr w:rsidR="00EA216F" w14:paraId="378EF0AF"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17BE4EC7" w14:textId="77777777" w:rsidR="00EA216F" w:rsidRDefault="00EA216F" w:rsidP="00EA216F">
            <w:pPr>
              <w:pStyle w:val="biaogecenter"/>
              <w:wordWrap w:val="0"/>
              <w:ind w:firstLine="480"/>
            </w:pPr>
            <w:r>
              <w:rPr>
                <w:rFonts w:hAnsi="Calibri" w:hint="eastAsia"/>
                <w:color w:val="000000"/>
              </w:rPr>
              <w:t>8</w:t>
            </w:r>
          </w:p>
        </w:tc>
        <w:tc>
          <w:tcPr>
            <w:tcW w:w="1294" w:type="dxa"/>
            <w:tcBorders>
              <w:top w:val="single" w:sz="8" w:space="0" w:color="000000"/>
              <w:left w:val="single" w:sz="8" w:space="0" w:color="000000"/>
              <w:bottom w:val="single" w:sz="6" w:space="0" w:color="000000"/>
              <w:right w:val="single" w:sz="8" w:space="0" w:color="000000"/>
            </w:tcBorders>
          </w:tcPr>
          <w:p w14:paraId="7AE0E3DC" w14:textId="612AEB65" w:rsidR="00EA216F" w:rsidRDefault="00EA216F" w:rsidP="00EA216F">
            <w:pPr>
              <w:pStyle w:val="biaogeleft"/>
              <w:wordWrap w:val="0"/>
            </w:pPr>
            <w:r w:rsidRPr="00B02DC2">
              <w:t>H00522</w:t>
            </w:r>
          </w:p>
        </w:tc>
        <w:tc>
          <w:tcPr>
            <w:tcW w:w="1418" w:type="dxa"/>
            <w:tcBorders>
              <w:top w:val="single" w:sz="8" w:space="0" w:color="000000"/>
              <w:left w:val="single" w:sz="8" w:space="0" w:color="000000"/>
              <w:bottom w:val="single" w:sz="6" w:space="0" w:color="000000"/>
              <w:right w:val="single" w:sz="8" w:space="0" w:color="000000"/>
            </w:tcBorders>
          </w:tcPr>
          <w:p w14:paraId="20925846" w14:textId="469577B4" w:rsidR="00EA216F" w:rsidRDefault="00EA216F" w:rsidP="00EA216F">
            <w:pPr>
              <w:pStyle w:val="biaogeleft"/>
              <w:wordWrap w:val="0"/>
            </w:pPr>
            <w:r w:rsidRPr="00B02DC2">
              <w:t>ASMPT</w:t>
            </w:r>
          </w:p>
        </w:tc>
        <w:tc>
          <w:tcPr>
            <w:tcW w:w="1417" w:type="dxa"/>
            <w:tcBorders>
              <w:top w:val="single" w:sz="8" w:space="0" w:color="000000"/>
              <w:left w:val="single" w:sz="8" w:space="0" w:color="000000"/>
              <w:bottom w:val="single" w:sz="6" w:space="0" w:color="000000"/>
              <w:right w:val="single" w:sz="8" w:space="0" w:color="000000"/>
            </w:tcBorders>
          </w:tcPr>
          <w:p w14:paraId="295137E5" w14:textId="6F1E1173" w:rsidR="00EA216F" w:rsidRDefault="00EA216F" w:rsidP="00EA216F">
            <w:pPr>
              <w:pStyle w:val="biaogeright"/>
              <w:wordWrap w:val="0"/>
            </w:pPr>
            <w:r w:rsidRPr="00B02DC2">
              <w:t>339,600</w:t>
            </w:r>
          </w:p>
        </w:tc>
        <w:tc>
          <w:tcPr>
            <w:tcW w:w="1985" w:type="dxa"/>
            <w:tcBorders>
              <w:top w:val="single" w:sz="8" w:space="0" w:color="000000"/>
              <w:left w:val="single" w:sz="8" w:space="0" w:color="000000"/>
              <w:bottom w:val="single" w:sz="6" w:space="0" w:color="000000"/>
              <w:right w:val="single" w:sz="8" w:space="0" w:color="000000"/>
            </w:tcBorders>
          </w:tcPr>
          <w:p w14:paraId="2BDA0417" w14:textId="6F90598B" w:rsidR="00EA216F" w:rsidRDefault="00EA216F" w:rsidP="00EA216F">
            <w:pPr>
              <w:pStyle w:val="biaogeright"/>
              <w:wordWrap w:val="0"/>
            </w:pPr>
            <w:r w:rsidRPr="00B02DC2">
              <w:t>70,436,347.70</w:t>
            </w:r>
          </w:p>
        </w:tc>
        <w:tc>
          <w:tcPr>
            <w:tcW w:w="1276" w:type="dxa"/>
            <w:tcBorders>
              <w:top w:val="single" w:sz="8" w:space="0" w:color="000000"/>
              <w:left w:val="single" w:sz="8" w:space="0" w:color="000000"/>
              <w:bottom w:val="single" w:sz="6" w:space="0" w:color="000000"/>
              <w:right w:val="single" w:sz="8" w:space="0" w:color="000000"/>
            </w:tcBorders>
          </w:tcPr>
          <w:p w14:paraId="65DBAD29" w14:textId="0FC81193" w:rsidR="00EA216F" w:rsidRDefault="00EA216F" w:rsidP="00EA216F">
            <w:pPr>
              <w:pStyle w:val="biaogeright"/>
              <w:wordWrap w:val="0"/>
            </w:pPr>
            <w:r w:rsidRPr="00B02DC2">
              <w:t>3.83</w:t>
            </w:r>
          </w:p>
        </w:tc>
      </w:tr>
      <w:tr w:rsidR="00EA216F" w14:paraId="7D696B5C"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01B44DE8" w14:textId="77777777" w:rsidR="00EA216F" w:rsidRDefault="00EA216F" w:rsidP="00EA216F">
            <w:pPr>
              <w:pStyle w:val="biaogecenter"/>
              <w:wordWrap w:val="0"/>
              <w:ind w:firstLine="480"/>
            </w:pPr>
            <w:r>
              <w:rPr>
                <w:rFonts w:hAnsi="Calibri" w:hint="eastAsia"/>
                <w:color w:val="000000"/>
              </w:rPr>
              <w:t>9</w:t>
            </w:r>
          </w:p>
        </w:tc>
        <w:tc>
          <w:tcPr>
            <w:tcW w:w="1294" w:type="dxa"/>
            <w:tcBorders>
              <w:top w:val="single" w:sz="8" w:space="0" w:color="000000"/>
              <w:left w:val="single" w:sz="8" w:space="0" w:color="000000"/>
              <w:bottom w:val="single" w:sz="6" w:space="0" w:color="000000"/>
              <w:right w:val="single" w:sz="8" w:space="0" w:color="000000"/>
            </w:tcBorders>
          </w:tcPr>
          <w:p w14:paraId="7D1D7912" w14:textId="0956F36C" w:rsidR="00EA216F" w:rsidRDefault="00EA216F" w:rsidP="00EA216F">
            <w:pPr>
              <w:pStyle w:val="biaogeleft"/>
              <w:wordWrap w:val="0"/>
            </w:pPr>
            <w:r w:rsidRPr="00B02DC2">
              <w:rPr>
                <w:rFonts w:hint="eastAsia"/>
              </w:rPr>
              <w:t>H01772</w:t>
            </w:r>
          </w:p>
        </w:tc>
        <w:tc>
          <w:tcPr>
            <w:tcW w:w="1418" w:type="dxa"/>
            <w:tcBorders>
              <w:top w:val="single" w:sz="8" w:space="0" w:color="000000"/>
              <w:left w:val="single" w:sz="8" w:space="0" w:color="000000"/>
              <w:bottom w:val="single" w:sz="6" w:space="0" w:color="000000"/>
              <w:right w:val="single" w:sz="8" w:space="0" w:color="000000"/>
            </w:tcBorders>
          </w:tcPr>
          <w:p w14:paraId="6EBAA5CB" w14:textId="67C5207E" w:rsidR="00EA216F" w:rsidRDefault="00EA216F" w:rsidP="00EA216F">
            <w:pPr>
              <w:pStyle w:val="biaogeleft"/>
              <w:wordWrap w:val="0"/>
            </w:pPr>
            <w:proofErr w:type="gramStart"/>
            <w:r w:rsidRPr="00B02DC2">
              <w:rPr>
                <w:rFonts w:hint="eastAsia"/>
              </w:rPr>
              <w:t>赣锋锂</w:t>
            </w:r>
            <w:proofErr w:type="gramEnd"/>
            <w:r w:rsidRPr="00B02DC2">
              <w:rPr>
                <w:rFonts w:hint="eastAsia"/>
              </w:rPr>
              <w:t>业</w:t>
            </w:r>
          </w:p>
        </w:tc>
        <w:tc>
          <w:tcPr>
            <w:tcW w:w="1417" w:type="dxa"/>
            <w:tcBorders>
              <w:top w:val="single" w:sz="8" w:space="0" w:color="000000"/>
              <w:left w:val="single" w:sz="8" w:space="0" w:color="000000"/>
              <w:bottom w:val="single" w:sz="6" w:space="0" w:color="000000"/>
              <w:right w:val="single" w:sz="8" w:space="0" w:color="000000"/>
            </w:tcBorders>
          </w:tcPr>
          <w:p w14:paraId="09775010" w14:textId="107C6CB3" w:rsidR="00EA216F" w:rsidRDefault="00EA216F" w:rsidP="00EA216F">
            <w:pPr>
              <w:pStyle w:val="biaogeright"/>
              <w:wordWrap w:val="0"/>
            </w:pPr>
            <w:r w:rsidRPr="00B02DC2">
              <w:rPr>
                <w:rFonts w:hint="eastAsia"/>
              </w:rPr>
              <w:t>1,513,200</w:t>
            </w:r>
          </w:p>
        </w:tc>
        <w:tc>
          <w:tcPr>
            <w:tcW w:w="1985" w:type="dxa"/>
            <w:tcBorders>
              <w:top w:val="single" w:sz="8" w:space="0" w:color="000000"/>
              <w:left w:val="single" w:sz="8" w:space="0" w:color="000000"/>
              <w:bottom w:val="single" w:sz="6" w:space="0" w:color="000000"/>
              <w:right w:val="single" w:sz="8" w:space="0" w:color="000000"/>
            </w:tcBorders>
          </w:tcPr>
          <w:p w14:paraId="41473E45" w14:textId="1062CA39" w:rsidR="00EA216F" w:rsidRDefault="00EA216F" w:rsidP="00EA216F">
            <w:pPr>
              <w:pStyle w:val="biaogeright"/>
              <w:wordWrap w:val="0"/>
            </w:pPr>
            <w:r w:rsidRPr="00B02DC2">
              <w:rPr>
                <w:rFonts w:hint="eastAsia"/>
              </w:rPr>
              <w:t>66,108,779.96</w:t>
            </w:r>
          </w:p>
        </w:tc>
        <w:tc>
          <w:tcPr>
            <w:tcW w:w="1276" w:type="dxa"/>
            <w:tcBorders>
              <w:top w:val="single" w:sz="8" w:space="0" w:color="000000"/>
              <w:left w:val="single" w:sz="8" w:space="0" w:color="000000"/>
              <w:bottom w:val="single" w:sz="6" w:space="0" w:color="000000"/>
              <w:right w:val="single" w:sz="8" w:space="0" w:color="000000"/>
            </w:tcBorders>
          </w:tcPr>
          <w:p w14:paraId="652CA957" w14:textId="38F4B337" w:rsidR="00EA216F" w:rsidRDefault="00EA216F" w:rsidP="00EA216F">
            <w:pPr>
              <w:pStyle w:val="biaogeright"/>
              <w:wordWrap w:val="0"/>
            </w:pPr>
            <w:r w:rsidRPr="00B02DC2">
              <w:rPr>
                <w:rFonts w:hint="eastAsia"/>
              </w:rPr>
              <w:t>3.59</w:t>
            </w:r>
          </w:p>
        </w:tc>
      </w:tr>
      <w:tr w:rsidR="00EA216F" w14:paraId="3E7712ED" w14:textId="77777777" w:rsidTr="00A36646">
        <w:tc>
          <w:tcPr>
            <w:tcW w:w="832" w:type="dxa"/>
            <w:tcBorders>
              <w:top w:val="single" w:sz="8" w:space="0" w:color="000000"/>
              <w:left w:val="single" w:sz="8" w:space="0" w:color="000000"/>
              <w:bottom w:val="single" w:sz="6" w:space="0" w:color="000000"/>
              <w:right w:val="single" w:sz="8" w:space="0" w:color="000000"/>
            </w:tcBorders>
            <w:tcMar>
              <w:left w:w="0" w:type="dxa"/>
              <w:right w:w="0" w:type="dxa"/>
            </w:tcMar>
            <w:vAlign w:val="center"/>
          </w:tcPr>
          <w:p w14:paraId="504892D2" w14:textId="40F345DD" w:rsidR="00EA216F" w:rsidRDefault="00EA216F" w:rsidP="00EA216F">
            <w:pPr>
              <w:pStyle w:val="biaogecenter"/>
              <w:wordWrap w:val="0"/>
              <w:ind w:firstLine="480"/>
            </w:pPr>
            <w:r>
              <w:rPr>
                <w:rFonts w:hAnsi="Calibri"/>
                <w:color w:val="000000"/>
              </w:rPr>
              <w:t>10</w:t>
            </w:r>
          </w:p>
        </w:tc>
        <w:tc>
          <w:tcPr>
            <w:tcW w:w="1294" w:type="dxa"/>
            <w:tcBorders>
              <w:top w:val="single" w:sz="8" w:space="0" w:color="000000"/>
              <w:left w:val="single" w:sz="8" w:space="0" w:color="000000"/>
              <w:bottom w:val="single" w:sz="6" w:space="0" w:color="000000"/>
              <w:right w:val="single" w:sz="8" w:space="0" w:color="000000"/>
            </w:tcBorders>
          </w:tcPr>
          <w:p w14:paraId="0B35596F" w14:textId="1E8C1BE6" w:rsidR="00EA216F" w:rsidRDefault="00EA216F" w:rsidP="00EA216F">
            <w:pPr>
              <w:pStyle w:val="biaogeleft"/>
              <w:wordWrap w:val="0"/>
            </w:pPr>
            <w:r w:rsidRPr="00B02DC2">
              <w:rPr>
                <w:rFonts w:hint="eastAsia"/>
              </w:rPr>
              <w:t>H02162</w:t>
            </w:r>
          </w:p>
        </w:tc>
        <w:tc>
          <w:tcPr>
            <w:tcW w:w="1418" w:type="dxa"/>
            <w:tcBorders>
              <w:top w:val="single" w:sz="8" w:space="0" w:color="000000"/>
              <w:left w:val="single" w:sz="8" w:space="0" w:color="000000"/>
              <w:bottom w:val="single" w:sz="6" w:space="0" w:color="000000"/>
              <w:right w:val="single" w:sz="8" w:space="0" w:color="000000"/>
            </w:tcBorders>
          </w:tcPr>
          <w:p w14:paraId="18B4B452" w14:textId="00171502" w:rsidR="00EA216F" w:rsidRDefault="00EA216F" w:rsidP="00EA216F">
            <w:pPr>
              <w:pStyle w:val="biaogeleft"/>
              <w:wordWrap w:val="0"/>
            </w:pPr>
            <w:r w:rsidRPr="00B02DC2">
              <w:rPr>
                <w:rFonts w:hint="eastAsia"/>
              </w:rPr>
              <w:t>康诺亚－Ｂ</w:t>
            </w:r>
          </w:p>
        </w:tc>
        <w:tc>
          <w:tcPr>
            <w:tcW w:w="1417" w:type="dxa"/>
            <w:tcBorders>
              <w:top w:val="single" w:sz="8" w:space="0" w:color="000000"/>
              <w:left w:val="single" w:sz="8" w:space="0" w:color="000000"/>
              <w:bottom w:val="single" w:sz="6" w:space="0" w:color="000000"/>
              <w:right w:val="single" w:sz="8" w:space="0" w:color="000000"/>
            </w:tcBorders>
          </w:tcPr>
          <w:p w14:paraId="67765BB8" w14:textId="108DA806" w:rsidR="00EA216F" w:rsidRDefault="00EA216F" w:rsidP="00EA216F">
            <w:pPr>
              <w:pStyle w:val="biaogeright"/>
              <w:wordWrap w:val="0"/>
            </w:pPr>
            <w:r w:rsidRPr="00B02DC2">
              <w:rPr>
                <w:rFonts w:hint="eastAsia"/>
              </w:rPr>
              <w:t>858,000</w:t>
            </w:r>
          </w:p>
        </w:tc>
        <w:tc>
          <w:tcPr>
            <w:tcW w:w="1985" w:type="dxa"/>
            <w:tcBorders>
              <w:top w:val="single" w:sz="8" w:space="0" w:color="000000"/>
              <w:left w:val="single" w:sz="8" w:space="0" w:color="000000"/>
              <w:bottom w:val="single" w:sz="6" w:space="0" w:color="000000"/>
              <w:right w:val="single" w:sz="8" w:space="0" w:color="000000"/>
            </w:tcBorders>
          </w:tcPr>
          <w:p w14:paraId="42A988F2" w14:textId="2573ADCC" w:rsidR="00EA216F" w:rsidRDefault="00EA216F" w:rsidP="00EA216F">
            <w:pPr>
              <w:pStyle w:val="biaogeright"/>
              <w:wordWrap w:val="0"/>
            </w:pPr>
            <w:r w:rsidRPr="00B02DC2">
              <w:rPr>
                <w:rFonts w:hint="eastAsia"/>
              </w:rPr>
              <w:t>52,724,024.93</w:t>
            </w:r>
          </w:p>
        </w:tc>
        <w:tc>
          <w:tcPr>
            <w:tcW w:w="1276" w:type="dxa"/>
            <w:tcBorders>
              <w:top w:val="single" w:sz="8" w:space="0" w:color="000000"/>
              <w:left w:val="single" w:sz="8" w:space="0" w:color="000000"/>
              <w:bottom w:val="single" w:sz="6" w:space="0" w:color="000000"/>
              <w:right w:val="single" w:sz="8" w:space="0" w:color="000000"/>
            </w:tcBorders>
          </w:tcPr>
          <w:p w14:paraId="7CF7835A" w14:textId="61DF3468" w:rsidR="00EA216F" w:rsidRDefault="00EA216F" w:rsidP="00EA216F">
            <w:pPr>
              <w:pStyle w:val="biaogeright"/>
              <w:wordWrap w:val="0"/>
            </w:pPr>
            <w:r w:rsidRPr="00B02DC2">
              <w:rPr>
                <w:rFonts w:hint="eastAsia"/>
              </w:rPr>
              <w:t>2.87</w:t>
            </w:r>
          </w:p>
        </w:tc>
      </w:tr>
    </w:tbl>
    <w:p w14:paraId="791DD20E" w14:textId="77777777" w:rsidR="008A6127" w:rsidRDefault="00437D9F">
      <w:pPr>
        <w:pStyle w:val="neirong"/>
      </w:pPr>
      <w:r>
        <w:rPr>
          <w:rFonts w:hint="eastAsia"/>
        </w:rPr>
        <w:t>注：对于同时在A+H股上市的股票，合并计算公允价值参与排序，并按照不同股票分别披露。</w:t>
      </w:r>
    </w:p>
    <w:p w14:paraId="081059A0" w14:textId="77777777" w:rsidR="008A6127" w:rsidRDefault="008A6127">
      <w:pPr>
        <w:snapToGrid w:val="0"/>
        <w:spacing w:line="360" w:lineRule="auto"/>
        <w:rPr>
          <w:rFonts w:ascii="宋体" w:hAnsi="宋体"/>
          <w:sz w:val="24"/>
        </w:rPr>
      </w:pPr>
    </w:p>
    <w:p w14:paraId="38C087D2" w14:textId="04437F39"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、报告期末按债券品种分类的债券投资组合</w:t>
      </w:r>
    </w:p>
    <w:p w14:paraId="7A178013" w14:textId="4B05604E" w:rsidR="008A6127" w:rsidRPr="00A36646" w:rsidRDefault="004D2A6F" w:rsidP="00A36646">
      <w:pPr>
        <w:snapToGrid w:val="0"/>
        <w:spacing w:line="360" w:lineRule="auto"/>
        <w:ind w:firstLineChars="200" w:firstLine="480"/>
        <w:rPr>
          <w:rFonts w:ascii="宋体" w:hAnsi="宋体"/>
          <w:sz w:val="24"/>
        </w:rPr>
      </w:pPr>
      <w:r w:rsidRPr="00A36646">
        <w:rPr>
          <w:rFonts w:ascii="宋体" w:hAnsi="宋体" w:hint="eastAsia"/>
          <w:sz w:val="24"/>
        </w:rPr>
        <w:t>本基金本报告期末未持有债券。</w:t>
      </w:r>
    </w:p>
    <w:p w14:paraId="284C6D06" w14:textId="77777777" w:rsidR="004D2A6F" w:rsidRDefault="004D2A6F">
      <w:pPr>
        <w:widowControl/>
        <w:jc w:val="left"/>
        <w:rPr>
          <w:rFonts w:ascii="宋体" w:hAnsi="宋体" w:cs="宋体"/>
          <w:kern w:val="0"/>
          <w:sz w:val="24"/>
        </w:rPr>
      </w:pPr>
    </w:p>
    <w:p w14:paraId="7E194847" w14:textId="0781DC98"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、报告期末按公允价值占基金资产净值比例大小排序的前五名债券投资明细</w:t>
      </w:r>
    </w:p>
    <w:p w14:paraId="201706EE" w14:textId="39874C97" w:rsidR="008A6127" w:rsidRDefault="00E9096F">
      <w:pPr>
        <w:snapToGrid w:val="0"/>
        <w:spacing w:line="360" w:lineRule="auto"/>
        <w:ind w:firstLineChars="200" w:firstLine="480"/>
        <w:rPr>
          <w:rFonts w:ascii="宋体" w:hAnsi="宋体"/>
          <w:sz w:val="24"/>
        </w:rPr>
      </w:pPr>
      <w:r w:rsidRPr="00E9096F">
        <w:rPr>
          <w:rFonts w:ascii="宋体" w:hAnsi="宋体" w:hint="eastAsia"/>
          <w:sz w:val="24"/>
        </w:rPr>
        <w:t>本基金本报告期末未持有债券。</w:t>
      </w:r>
    </w:p>
    <w:p w14:paraId="169216D9" w14:textId="77777777" w:rsidR="00E9096F" w:rsidRDefault="00E9096F">
      <w:pPr>
        <w:snapToGrid w:val="0"/>
        <w:spacing w:line="360" w:lineRule="auto"/>
        <w:ind w:firstLineChars="200" w:firstLine="480"/>
        <w:rPr>
          <w:rFonts w:ascii="宋体" w:hAnsi="宋体"/>
          <w:sz w:val="24"/>
        </w:rPr>
      </w:pPr>
    </w:p>
    <w:p w14:paraId="2E71A856" w14:textId="77777777" w:rsidR="008A6127" w:rsidRDefault="00437D9F">
      <w:pPr>
        <w:snapToGrid w:val="0"/>
        <w:spacing w:line="360" w:lineRule="auto"/>
        <w:ind w:firstLineChars="200" w:firstLine="480"/>
        <w:rPr>
          <w:rFonts w:ascii="宋体" w:hAnsi="宋体"/>
          <w:sz w:val="24"/>
        </w:rPr>
      </w:pPr>
      <w:r>
        <w:rPr>
          <w:rFonts w:ascii="宋体" w:hAnsi="宋体"/>
          <w:sz w:val="24"/>
        </w:rPr>
        <w:t>6</w:t>
      </w:r>
      <w:r>
        <w:rPr>
          <w:rFonts w:ascii="宋体" w:hAnsi="宋体" w:hint="eastAsia"/>
          <w:sz w:val="24"/>
        </w:rPr>
        <w:t>、报告期末按公允价值占基金资产净值比例大小排序的前十名资产支持证券投资明细</w:t>
      </w:r>
    </w:p>
    <w:p w14:paraId="5953B6D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本基金本报告期末未持有资产支持证券。</w:t>
      </w:r>
    </w:p>
    <w:p w14:paraId="7B9A60DF" w14:textId="77777777" w:rsidR="008A6127" w:rsidRDefault="008A6127">
      <w:pPr>
        <w:snapToGrid w:val="0"/>
        <w:spacing w:line="360" w:lineRule="auto"/>
        <w:ind w:firstLineChars="200" w:firstLine="480"/>
        <w:rPr>
          <w:rFonts w:ascii="宋体" w:hAnsi="宋体"/>
          <w:sz w:val="24"/>
        </w:rPr>
      </w:pPr>
    </w:p>
    <w:p w14:paraId="6C833422" w14:textId="77777777" w:rsidR="008A6127" w:rsidRDefault="00437D9F">
      <w:pPr>
        <w:snapToGrid w:val="0"/>
        <w:spacing w:line="360" w:lineRule="auto"/>
        <w:ind w:firstLineChars="200" w:firstLine="480"/>
        <w:rPr>
          <w:rFonts w:ascii="宋体" w:hAnsi="宋体"/>
          <w:sz w:val="24"/>
        </w:rPr>
      </w:pPr>
      <w:r>
        <w:rPr>
          <w:rFonts w:ascii="宋体" w:hAnsi="宋体"/>
          <w:sz w:val="24"/>
        </w:rPr>
        <w:t>7</w:t>
      </w:r>
      <w:r>
        <w:rPr>
          <w:rFonts w:ascii="宋体" w:hAnsi="宋体" w:hint="eastAsia"/>
          <w:sz w:val="24"/>
        </w:rPr>
        <w:t>、报告期末按公允价值占基金资产净值比例大小排序的前五名贵金属投资明细</w:t>
      </w:r>
    </w:p>
    <w:p w14:paraId="0073F69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本基金本报告期末未持有贵金属。</w:t>
      </w:r>
    </w:p>
    <w:p w14:paraId="7BC6AFAD" w14:textId="77777777" w:rsidR="008A6127" w:rsidRDefault="008A6127">
      <w:pPr>
        <w:snapToGrid w:val="0"/>
        <w:spacing w:line="360" w:lineRule="auto"/>
        <w:ind w:firstLineChars="200" w:firstLine="480"/>
        <w:rPr>
          <w:rFonts w:ascii="宋体" w:hAnsi="宋体"/>
          <w:sz w:val="24"/>
        </w:rPr>
      </w:pPr>
    </w:p>
    <w:p w14:paraId="104E76FD" w14:textId="77777777" w:rsidR="008A6127" w:rsidRDefault="00437D9F">
      <w:pPr>
        <w:snapToGrid w:val="0"/>
        <w:spacing w:line="360" w:lineRule="auto"/>
        <w:ind w:firstLineChars="200" w:firstLine="480"/>
        <w:rPr>
          <w:rFonts w:ascii="宋体" w:hAnsi="宋体"/>
          <w:sz w:val="24"/>
        </w:rPr>
      </w:pPr>
      <w:r>
        <w:rPr>
          <w:rFonts w:ascii="宋体" w:hAnsi="宋体"/>
          <w:sz w:val="24"/>
        </w:rPr>
        <w:t>8</w:t>
      </w:r>
      <w:r>
        <w:rPr>
          <w:rFonts w:ascii="宋体" w:hAnsi="宋体" w:hint="eastAsia"/>
          <w:sz w:val="24"/>
        </w:rPr>
        <w:t>、报告期末按公允价值占基金资产净值比例大小排序的前五名权证投资明细</w:t>
      </w:r>
    </w:p>
    <w:p w14:paraId="2D377F95" w14:textId="5BA76D48" w:rsidR="008A6127" w:rsidRDefault="00437D9F">
      <w:pPr>
        <w:snapToGrid w:val="0"/>
        <w:spacing w:line="360" w:lineRule="auto"/>
        <w:ind w:firstLineChars="200" w:firstLine="480"/>
        <w:rPr>
          <w:rFonts w:ascii="宋体" w:hAnsi="宋体"/>
          <w:sz w:val="24"/>
        </w:rPr>
      </w:pPr>
      <w:r>
        <w:rPr>
          <w:rFonts w:ascii="宋体" w:hAnsi="宋体" w:hint="eastAsia"/>
          <w:sz w:val="24"/>
        </w:rPr>
        <w:t>本基金本报告期末未持有权证。</w:t>
      </w:r>
    </w:p>
    <w:p w14:paraId="45264F65" w14:textId="77777777" w:rsidR="008A6127" w:rsidRDefault="008A6127">
      <w:pPr>
        <w:snapToGrid w:val="0"/>
        <w:spacing w:line="360" w:lineRule="auto"/>
        <w:ind w:firstLineChars="200" w:firstLine="480"/>
        <w:rPr>
          <w:rFonts w:ascii="宋体" w:hAnsi="宋体"/>
          <w:sz w:val="24"/>
        </w:rPr>
      </w:pPr>
    </w:p>
    <w:p w14:paraId="69C0AE7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9、报告期末本基金投资的股指期货交易情况说明</w:t>
      </w:r>
    </w:p>
    <w:p w14:paraId="1FF287E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（1）报告期末本基金投资的股指期货持仓和损益明细</w:t>
      </w:r>
    </w:p>
    <w:p w14:paraId="3653FC30" w14:textId="41185A25" w:rsidR="008A6127" w:rsidRDefault="00437D9F">
      <w:pPr>
        <w:snapToGrid w:val="0"/>
        <w:spacing w:line="360" w:lineRule="auto"/>
        <w:ind w:firstLineChars="200" w:firstLine="480"/>
        <w:rPr>
          <w:rFonts w:ascii="宋体" w:hAnsi="宋体"/>
          <w:sz w:val="24"/>
        </w:rPr>
      </w:pPr>
      <w:r>
        <w:rPr>
          <w:rFonts w:ascii="宋体" w:hAnsi="宋体" w:hint="eastAsia"/>
          <w:sz w:val="24"/>
        </w:rPr>
        <w:t>本基金本报告期</w:t>
      </w:r>
      <w:r w:rsidR="00B67392">
        <w:rPr>
          <w:rFonts w:ascii="宋体" w:hAnsi="宋体" w:hint="eastAsia"/>
          <w:sz w:val="24"/>
        </w:rPr>
        <w:t>末</w:t>
      </w:r>
      <w:r>
        <w:rPr>
          <w:rFonts w:ascii="宋体" w:hAnsi="宋体" w:hint="eastAsia"/>
          <w:sz w:val="24"/>
        </w:rPr>
        <w:t>未</w:t>
      </w:r>
      <w:r w:rsidR="00B67392">
        <w:rPr>
          <w:rFonts w:ascii="宋体" w:hAnsi="宋体" w:hint="eastAsia"/>
          <w:sz w:val="24"/>
        </w:rPr>
        <w:t>持有</w:t>
      </w:r>
      <w:r>
        <w:rPr>
          <w:rFonts w:ascii="宋体" w:hAnsi="宋体" w:hint="eastAsia"/>
          <w:sz w:val="24"/>
        </w:rPr>
        <w:t>股指期货。</w:t>
      </w:r>
    </w:p>
    <w:p w14:paraId="4EFE866B" w14:textId="77777777" w:rsidR="008A6127" w:rsidRDefault="008A6127">
      <w:pPr>
        <w:snapToGrid w:val="0"/>
        <w:spacing w:line="360" w:lineRule="auto"/>
        <w:ind w:firstLineChars="200" w:firstLine="480"/>
        <w:rPr>
          <w:rFonts w:ascii="宋体" w:hAnsi="宋体"/>
          <w:sz w:val="24"/>
        </w:rPr>
      </w:pPr>
    </w:p>
    <w:p w14:paraId="15778D9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（2）本基金投资股指期货的投资政策</w:t>
      </w:r>
    </w:p>
    <w:p w14:paraId="3B3B92AD" w14:textId="55BFB99B" w:rsidR="00103262" w:rsidRPr="00103262" w:rsidRDefault="00103262" w:rsidP="00103262">
      <w:pPr>
        <w:snapToGrid w:val="0"/>
        <w:spacing w:line="360" w:lineRule="auto"/>
        <w:ind w:firstLineChars="200" w:firstLine="480"/>
        <w:rPr>
          <w:rFonts w:ascii="宋体" w:hAnsi="宋体"/>
          <w:sz w:val="24"/>
        </w:rPr>
      </w:pPr>
      <w:r w:rsidRPr="00103262">
        <w:rPr>
          <w:rFonts w:ascii="宋体" w:hAnsi="宋体" w:hint="eastAsia"/>
          <w:sz w:val="24"/>
        </w:rPr>
        <w:t>本基金</w:t>
      </w:r>
      <w:r w:rsidR="00B67392">
        <w:rPr>
          <w:rFonts w:ascii="宋体" w:hAnsi="宋体" w:hint="eastAsia"/>
          <w:sz w:val="24"/>
        </w:rPr>
        <w:t>本</w:t>
      </w:r>
      <w:r w:rsidRPr="00103262">
        <w:rPr>
          <w:rFonts w:ascii="宋体" w:hAnsi="宋体" w:hint="eastAsia"/>
          <w:sz w:val="24"/>
        </w:rPr>
        <w:t>报告期未投资股指期货。</w:t>
      </w:r>
    </w:p>
    <w:p w14:paraId="267EAD39" w14:textId="65249B8E" w:rsidR="008A6127" w:rsidRDefault="00103262" w:rsidP="00103262">
      <w:pPr>
        <w:snapToGrid w:val="0"/>
        <w:spacing w:line="360" w:lineRule="auto"/>
        <w:ind w:firstLineChars="200" w:firstLine="480"/>
        <w:rPr>
          <w:rFonts w:ascii="宋体" w:hAnsi="宋体"/>
          <w:sz w:val="24"/>
        </w:rPr>
      </w:pPr>
      <w:r w:rsidRPr="00103262">
        <w:rPr>
          <w:rFonts w:ascii="宋体" w:hAnsi="宋体" w:hint="eastAsia"/>
          <w:sz w:val="24"/>
        </w:rPr>
        <w:t>本基金将根据风险管理的原则，以套期保值为目的，在风险可控的前提下，本着谨慎原则，参与股指期货的投资，以管理投资组合的系统性风险，改善组合的风险收益特性。</w:t>
      </w:r>
    </w:p>
    <w:p w14:paraId="64C82A5D" w14:textId="77777777" w:rsidR="008A6127" w:rsidRDefault="008A6127">
      <w:pPr>
        <w:snapToGrid w:val="0"/>
        <w:spacing w:line="360" w:lineRule="auto"/>
        <w:ind w:firstLineChars="200" w:firstLine="480"/>
        <w:rPr>
          <w:rFonts w:ascii="宋体" w:hAnsi="宋体"/>
          <w:sz w:val="24"/>
        </w:rPr>
      </w:pPr>
    </w:p>
    <w:p w14:paraId="6E0E16A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10、报告期末本基金投资的国债期货交易情况说明</w:t>
      </w:r>
    </w:p>
    <w:p w14:paraId="2D8757C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（1）本期国债期货投资政策</w:t>
      </w:r>
    </w:p>
    <w:p w14:paraId="3C3F9B80" w14:textId="48708375" w:rsidR="008A6127" w:rsidRDefault="003A565F">
      <w:pPr>
        <w:snapToGrid w:val="0"/>
        <w:spacing w:line="360" w:lineRule="auto"/>
        <w:ind w:firstLineChars="200" w:firstLine="480"/>
        <w:rPr>
          <w:rFonts w:ascii="宋体" w:hAnsi="宋体"/>
          <w:sz w:val="24"/>
        </w:rPr>
      </w:pPr>
      <w:r w:rsidRPr="003A565F">
        <w:rPr>
          <w:rFonts w:ascii="宋体" w:hAnsi="宋体" w:hint="eastAsia"/>
          <w:sz w:val="24"/>
        </w:rPr>
        <w:t>本基金根据基金合同的约定，不允许投资国债期货。</w:t>
      </w:r>
    </w:p>
    <w:p w14:paraId="6F3D6366" w14:textId="77777777" w:rsidR="008A6127" w:rsidRDefault="008A6127">
      <w:pPr>
        <w:snapToGrid w:val="0"/>
        <w:spacing w:line="360" w:lineRule="auto"/>
        <w:ind w:firstLineChars="200" w:firstLine="480"/>
        <w:rPr>
          <w:rFonts w:ascii="宋体" w:hAnsi="宋体"/>
          <w:sz w:val="24"/>
        </w:rPr>
      </w:pPr>
    </w:p>
    <w:p w14:paraId="211B417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（2）报告期末本基金投资的国债期货持仓和损益明细</w:t>
      </w:r>
    </w:p>
    <w:p w14:paraId="2DAAF3A8" w14:textId="79A3DF39" w:rsidR="008A6127" w:rsidRDefault="0087069B">
      <w:pPr>
        <w:snapToGrid w:val="0"/>
        <w:spacing w:line="360" w:lineRule="auto"/>
        <w:ind w:firstLineChars="200" w:firstLine="480"/>
        <w:rPr>
          <w:rFonts w:ascii="宋体" w:hAnsi="宋体"/>
          <w:sz w:val="24"/>
        </w:rPr>
      </w:pPr>
      <w:r w:rsidRPr="0087069B">
        <w:rPr>
          <w:rFonts w:ascii="宋体" w:hAnsi="宋体" w:hint="eastAsia"/>
          <w:sz w:val="24"/>
        </w:rPr>
        <w:t>本基金根据基金合同的约定，不允许投资国债期货。</w:t>
      </w:r>
    </w:p>
    <w:p w14:paraId="125238D2" w14:textId="77777777" w:rsidR="008A6127" w:rsidRDefault="008A6127">
      <w:pPr>
        <w:snapToGrid w:val="0"/>
        <w:spacing w:line="360" w:lineRule="auto"/>
        <w:ind w:firstLineChars="200" w:firstLine="480"/>
        <w:rPr>
          <w:rFonts w:ascii="宋体" w:hAnsi="宋体"/>
          <w:sz w:val="24"/>
        </w:rPr>
      </w:pPr>
    </w:p>
    <w:p w14:paraId="775A7A0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（3）本期国债期货投资评价</w:t>
      </w:r>
    </w:p>
    <w:p w14:paraId="650818AF" w14:textId="254D5BB0" w:rsidR="008A6127" w:rsidRDefault="00042296">
      <w:pPr>
        <w:snapToGrid w:val="0"/>
        <w:spacing w:line="360" w:lineRule="auto"/>
        <w:ind w:firstLineChars="200" w:firstLine="480"/>
        <w:rPr>
          <w:rFonts w:ascii="宋体" w:hAnsi="宋体"/>
          <w:sz w:val="24"/>
        </w:rPr>
      </w:pPr>
      <w:r w:rsidRPr="00042296">
        <w:rPr>
          <w:rFonts w:ascii="宋体" w:hAnsi="宋体" w:hint="eastAsia"/>
          <w:sz w:val="24"/>
        </w:rPr>
        <w:t>本基金根据基金合同的约定，不允许投资国债期货。</w:t>
      </w:r>
    </w:p>
    <w:p w14:paraId="02A7EFFB" w14:textId="77777777" w:rsidR="008A6127" w:rsidRDefault="008A6127">
      <w:pPr>
        <w:snapToGrid w:val="0"/>
        <w:spacing w:line="360" w:lineRule="auto"/>
        <w:ind w:firstLineChars="200" w:firstLine="480"/>
        <w:rPr>
          <w:rFonts w:ascii="宋体" w:hAnsi="宋体"/>
          <w:sz w:val="24"/>
        </w:rPr>
      </w:pPr>
    </w:p>
    <w:p w14:paraId="7FAE341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 xml:space="preserve">11、投资组合报告附注 </w:t>
      </w:r>
    </w:p>
    <w:p w14:paraId="6435FE9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（1）声明本基金投资的前十名证券的发行主体本期是否出现被监管部门立案调查，或在报告编制日前一年内受到公开谴责、处罚的情形。如是，还应对相关证券的投资决策程序做出说明</w:t>
      </w:r>
    </w:p>
    <w:p w14:paraId="113D7BDC" w14:textId="6167E893" w:rsidR="008A6127" w:rsidRDefault="00216F47">
      <w:pPr>
        <w:snapToGrid w:val="0"/>
        <w:spacing w:line="360" w:lineRule="auto"/>
        <w:ind w:firstLineChars="200" w:firstLine="480"/>
        <w:rPr>
          <w:rFonts w:ascii="宋体" w:hAnsi="宋体"/>
          <w:sz w:val="24"/>
        </w:rPr>
      </w:pPr>
      <w:r w:rsidRPr="00216F47">
        <w:rPr>
          <w:rFonts w:ascii="宋体" w:hAnsi="宋体" w:hint="eastAsia"/>
          <w:sz w:val="24"/>
        </w:rPr>
        <w:t>本基金投资的前十名证券的发行主体</w:t>
      </w:r>
      <w:proofErr w:type="gramStart"/>
      <w:r w:rsidRPr="00216F47">
        <w:rPr>
          <w:rFonts w:ascii="宋体" w:hAnsi="宋体" w:hint="eastAsia"/>
          <w:sz w:val="24"/>
        </w:rPr>
        <w:t>本期未</w:t>
      </w:r>
      <w:proofErr w:type="gramEnd"/>
      <w:r w:rsidRPr="00216F47">
        <w:rPr>
          <w:rFonts w:ascii="宋体" w:hAnsi="宋体" w:hint="eastAsia"/>
          <w:sz w:val="24"/>
        </w:rPr>
        <w:t>出现被监管部门立案调查的情形，在报告编制日前一年内未受到公开谴责、处罚的情形。</w:t>
      </w:r>
    </w:p>
    <w:p w14:paraId="7EC56BC7" w14:textId="77777777" w:rsidR="008A6127" w:rsidRDefault="008A6127" w:rsidP="00A36646">
      <w:pPr>
        <w:snapToGrid w:val="0"/>
        <w:spacing w:line="360" w:lineRule="auto"/>
        <w:rPr>
          <w:rFonts w:ascii="宋体" w:hAnsi="宋体"/>
          <w:sz w:val="24"/>
        </w:rPr>
      </w:pPr>
    </w:p>
    <w:p w14:paraId="76C4AEB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（2）声明基金投资的前十名股票是否超出基金合同规定的备选股票库。如是，还应对相关股票的投资决策程序做出说明</w:t>
      </w:r>
    </w:p>
    <w:p w14:paraId="726FCBB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本基金投资的前十名股票没有超出基金合同规定的备选股票库。</w:t>
      </w:r>
    </w:p>
    <w:p w14:paraId="45E81E73" w14:textId="77777777" w:rsidR="008A6127" w:rsidRDefault="008A6127">
      <w:pPr>
        <w:snapToGrid w:val="0"/>
        <w:spacing w:line="360" w:lineRule="auto"/>
        <w:ind w:firstLineChars="200" w:firstLine="480"/>
        <w:rPr>
          <w:rFonts w:ascii="宋体" w:hAnsi="宋体"/>
          <w:sz w:val="24"/>
        </w:rPr>
      </w:pPr>
    </w:p>
    <w:p w14:paraId="74E5074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（3）其他资产构成</w:t>
      </w:r>
    </w:p>
    <w:tbl>
      <w:tblPr>
        <w:tblW w:w="8104" w:type="dxa"/>
        <w:tblInd w:w="108" w:type="dxa"/>
        <w:tblLook w:val="04A0" w:firstRow="1" w:lastRow="0" w:firstColumn="1" w:lastColumn="0" w:noHBand="0" w:noVBand="1"/>
      </w:tblPr>
      <w:tblGrid>
        <w:gridCol w:w="1276"/>
        <w:gridCol w:w="3709"/>
        <w:gridCol w:w="3119"/>
      </w:tblGrid>
      <w:tr w:rsidR="008A6127" w14:paraId="29D25E09"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115619E6" w14:textId="77777777" w:rsidR="008A6127" w:rsidRDefault="00437D9F">
            <w:pPr>
              <w:pStyle w:val="biaogecenter"/>
              <w:wordWrap w:val="0"/>
            </w:pPr>
            <w:r>
              <w:rPr>
                <w:rFonts w:hAnsi="Calibri" w:hint="eastAsia"/>
                <w:color w:val="000000"/>
              </w:rPr>
              <w:t>序号</w:t>
            </w:r>
          </w:p>
        </w:tc>
        <w:tc>
          <w:tcPr>
            <w:tcW w:w="3709" w:type="dxa"/>
            <w:tcBorders>
              <w:top w:val="single" w:sz="8" w:space="0" w:color="000000"/>
              <w:left w:val="single" w:sz="8" w:space="0" w:color="000000"/>
              <w:bottom w:val="single" w:sz="6" w:space="0" w:color="000000"/>
              <w:right w:val="single" w:sz="8" w:space="0" w:color="000000"/>
            </w:tcBorders>
            <w:vAlign w:val="center"/>
          </w:tcPr>
          <w:p w14:paraId="2F2C4906" w14:textId="77777777" w:rsidR="008A6127" w:rsidRDefault="00437D9F">
            <w:pPr>
              <w:pStyle w:val="biaogecenter"/>
              <w:wordWrap w:val="0"/>
            </w:pPr>
            <w:r>
              <w:rPr>
                <w:rFonts w:hint="eastAsia"/>
              </w:rPr>
              <w:t>名称</w:t>
            </w:r>
          </w:p>
        </w:tc>
        <w:tc>
          <w:tcPr>
            <w:tcW w:w="3119" w:type="dxa"/>
            <w:tcBorders>
              <w:top w:val="single" w:sz="8" w:space="0" w:color="000000"/>
              <w:left w:val="single" w:sz="8" w:space="0" w:color="000000"/>
              <w:bottom w:val="single" w:sz="6" w:space="0" w:color="000000"/>
              <w:right w:val="single" w:sz="8" w:space="0" w:color="000000"/>
            </w:tcBorders>
            <w:vAlign w:val="center"/>
          </w:tcPr>
          <w:p w14:paraId="50FA350F" w14:textId="77777777" w:rsidR="008A6127" w:rsidRDefault="00437D9F">
            <w:pPr>
              <w:pStyle w:val="biaogecenter"/>
              <w:wordWrap w:val="0"/>
            </w:pPr>
            <w:r>
              <w:rPr>
                <w:rFonts w:hint="eastAsia"/>
              </w:rPr>
              <w:t>金额(元)</w:t>
            </w:r>
          </w:p>
        </w:tc>
      </w:tr>
      <w:tr w:rsidR="00EA216F" w14:paraId="110DDB91" w14:textId="77777777" w:rsidTr="0070640F">
        <w:tc>
          <w:tcPr>
            <w:tcW w:w="1276" w:type="dxa"/>
            <w:tcBorders>
              <w:top w:val="single" w:sz="8" w:space="0" w:color="000000"/>
              <w:left w:val="single" w:sz="8" w:space="0" w:color="000000"/>
              <w:bottom w:val="single" w:sz="6" w:space="0" w:color="000000"/>
              <w:right w:val="single" w:sz="8" w:space="0" w:color="000000"/>
            </w:tcBorders>
            <w:vAlign w:val="center"/>
          </w:tcPr>
          <w:p w14:paraId="066E5418" w14:textId="77777777" w:rsidR="00EA216F" w:rsidRDefault="00EA216F" w:rsidP="00EA216F">
            <w:pPr>
              <w:pStyle w:val="biaogecenter"/>
              <w:wordWrap w:val="0"/>
            </w:pPr>
            <w:r>
              <w:rPr>
                <w:rFonts w:hAnsi="Calibri" w:hint="eastAsia"/>
                <w:color w:val="000000"/>
              </w:rPr>
              <w:t>1</w:t>
            </w:r>
          </w:p>
        </w:tc>
        <w:tc>
          <w:tcPr>
            <w:tcW w:w="3709" w:type="dxa"/>
            <w:tcBorders>
              <w:top w:val="single" w:sz="8" w:space="0" w:color="000000"/>
              <w:left w:val="single" w:sz="8" w:space="0" w:color="000000"/>
              <w:bottom w:val="single" w:sz="6" w:space="0" w:color="000000"/>
              <w:right w:val="single" w:sz="8" w:space="0" w:color="000000"/>
            </w:tcBorders>
          </w:tcPr>
          <w:p w14:paraId="519CC182" w14:textId="1BF65EC9" w:rsidR="00EA216F" w:rsidRDefault="00EA216F" w:rsidP="00EA216F">
            <w:pPr>
              <w:pStyle w:val="biaogeleft"/>
              <w:wordWrap w:val="0"/>
            </w:pPr>
            <w:r w:rsidRPr="00BE1113">
              <w:rPr>
                <w:rFonts w:hint="eastAsia"/>
              </w:rPr>
              <w:t>存出保证金</w:t>
            </w:r>
          </w:p>
        </w:tc>
        <w:tc>
          <w:tcPr>
            <w:tcW w:w="3119" w:type="dxa"/>
            <w:tcBorders>
              <w:top w:val="single" w:sz="8" w:space="0" w:color="000000"/>
              <w:left w:val="single" w:sz="8" w:space="0" w:color="000000"/>
              <w:bottom w:val="single" w:sz="6" w:space="0" w:color="000000"/>
              <w:right w:val="single" w:sz="8" w:space="0" w:color="000000"/>
            </w:tcBorders>
          </w:tcPr>
          <w:p w14:paraId="05B87930" w14:textId="4AEA647B" w:rsidR="00EA216F" w:rsidRDefault="00EA216F" w:rsidP="00EA216F">
            <w:pPr>
              <w:pStyle w:val="biaogeright"/>
              <w:wordWrap w:val="0"/>
            </w:pPr>
            <w:r w:rsidRPr="00825CAA">
              <w:t>-</w:t>
            </w:r>
          </w:p>
        </w:tc>
      </w:tr>
      <w:tr w:rsidR="00EA216F" w14:paraId="5362DEDB" w14:textId="77777777" w:rsidTr="0070640F">
        <w:tc>
          <w:tcPr>
            <w:tcW w:w="1276" w:type="dxa"/>
            <w:tcBorders>
              <w:top w:val="single" w:sz="8" w:space="0" w:color="000000"/>
              <w:left w:val="single" w:sz="8" w:space="0" w:color="000000"/>
              <w:bottom w:val="single" w:sz="6" w:space="0" w:color="000000"/>
              <w:right w:val="single" w:sz="8" w:space="0" w:color="000000"/>
            </w:tcBorders>
            <w:vAlign w:val="center"/>
          </w:tcPr>
          <w:p w14:paraId="5BACF4D5" w14:textId="77777777" w:rsidR="00EA216F" w:rsidRDefault="00EA216F" w:rsidP="00EA216F">
            <w:pPr>
              <w:pStyle w:val="biaogecenter"/>
              <w:wordWrap w:val="0"/>
            </w:pPr>
            <w:r>
              <w:rPr>
                <w:rFonts w:hAnsi="Calibri" w:hint="eastAsia"/>
                <w:color w:val="000000"/>
              </w:rPr>
              <w:t>2</w:t>
            </w:r>
          </w:p>
        </w:tc>
        <w:tc>
          <w:tcPr>
            <w:tcW w:w="3709" w:type="dxa"/>
            <w:tcBorders>
              <w:top w:val="single" w:sz="8" w:space="0" w:color="000000"/>
              <w:left w:val="single" w:sz="8" w:space="0" w:color="000000"/>
              <w:bottom w:val="single" w:sz="6" w:space="0" w:color="000000"/>
              <w:right w:val="single" w:sz="8" w:space="0" w:color="000000"/>
            </w:tcBorders>
          </w:tcPr>
          <w:p w14:paraId="15398133" w14:textId="5164B2A4" w:rsidR="00EA216F" w:rsidRDefault="00EA216F" w:rsidP="00EA216F">
            <w:pPr>
              <w:pStyle w:val="biaogeleft"/>
              <w:wordWrap w:val="0"/>
            </w:pPr>
            <w:r w:rsidRPr="00BE1113">
              <w:rPr>
                <w:rFonts w:hint="eastAsia"/>
              </w:rPr>
              <w:t>应收证券清算款</w:t>
            </w:r>
          </w:p>
        </w:tc>
        <w:tc>
          <w:tcPr>
            <w:tcW w:w="3119" w:type="dxa"/>
            <w:tcBorders>
              <w:top w:val="single" w:sz="8" w:space="0" w:color="000000"/>
              <w:left w:val="single" w:sz="8" w:space="0" w:color="000000"/>
              <w:bottom w:val="single" w:sz="6" w:space="0" w:color="000000"/>
              <w:right w:val="single" w:sz="8" w:space="0" w:color="000000"/>
            </w:tcBorders>
          </w:tcPr>
          <w:p w14:paraId="5A1E31A1" w14:textId="1D1D8F56" w:rsidR="00EA216F" w:rsidRDefault="00EA216F" w:rsidP="00EA216F">
            <w:pPr>
              <w:pStyle w:val="biaogeright"/>
              <w:wordWrap w:val="0"/>
            </w:pPr>
            <w:r w:rsidRPr="00825CAA">
              <w:t>22,944,225.13</w:t>
            </w:r>
          </w:p>
        </w:tc>
      </w:tr>
      <w:tr w:rsidR="00EA216F" w14:paraId="07F40025" w14:textId="77777777" w:rsidTr="0070640F">
        <w:tc>
          <w:tcPr>
            <w:tcW w:w="1276" w:type="dxa"/>
            <w:tcBorders>
              <w:top w:val="single" w:sz="8" w:space="0" w:color="000000"/>
              <w:left w:val="single" w:sz="8" w:space="0" w:color="000000"/>
              <w:bottom w:val="single" w:sz="6" w:space="0" w:color="000000"/>
              <w:right w:val="single" w:sz="8" w:space="0" w:color="000000"/>
            </w:tcBorders>
            <w:vAlign w:val="center"/>
          </w:tcPr>
          <w:p w14:paraId="130C4A95" w14:textId="77777777" w:rsidR="00EA216F" w:rsidRDefault="00EA216F" w:rsidP="00EA216F">
            <w:pPr>
              <w:pStyle w:val="biaogecenter"/>
              <w:wordWrap w:val="0"/>
            </w:pPr>
            <w:r>
              <w:rPr>
                <w:rFonts w:hAnsi="Calibri" w:hint="eastAsia"/>
                <w:color w:val="000000"/>
              </w:rPr>
              <w:t>3</w:t>
            </w:r>
          </w:p>
        </w:tc>
        <w:tc>
          <w:tcPr>
            <w:tcW w:w="3709" w:type="dxa"/>
            <w:tcBorders>
              <w:top w:val="single" w:sz="8" w:space="0" w:color="000000"/>
              <w:left w:val="single" w:sz="8" w:space="0" w:color="000000"/>
              <w:bottom w:val="single" w:sz="6" w:space="0" w:color="000000"/>
              <w:right w:val="single" w:sz="8" w:space="0" w:color="000000"/>
            </w:tcBorders>
          </w:tcPr>
          <w:p w14:paraId="5995F37E" w14:textId="13EFCEF3" w:rsidR="00EA216F" w:rsidRDefault="00EA216F" w:rsidP="00EA216F">
            <w:pPr>
              <w:pStyle w:val="biaogeleft"/>
              <w:wordWrap w:val="0"/>
            </w:pPr>
            <w:r w:rsidRPr="00BE1113">
              <w:rPr>
                <w:rFonts w:hint="eastAsia"/>
              </w:rPr>
              <w:t>应收股利</w:t>
            </w:r>
          </w:p>
        </w:tc>
        <w:tc>
          <w:tcPr>
            <w:tcW w:w="3119" w:type="dxa"/>
            <w:tcBorders>
              <w:top w:val="single" w:sz="8" w:space="0" w:color="000000"/>
              <w:left w:val="single" w:sz="8" w:space="0" w:color="000000"/>
              <w:bottom w:val="single" w:sz="6" w:space="0" w:color="000000"/>
              <w:right w:val="single" w:sz="8" w:space="0" w:color="000000"/>
            </w:tcBorders>
          </w:tcPr>
          <w:p w14:paraId="68AB1FE8" w14:textId="1210A91E" w:rsidR="00EA216F" w:rsidRDefault="00EA216F" w:rsidP="00EA216F">
            <w:pPr>
              <w:pStyle w:val="biaogeright"/>
              <w:wordWrap w:val="0"/>
            </w:pPr>
            <w:r w:rsidRPr="00825CAA">
              <w:t>405,004.11</w:t>
            </w:r>
          </w:p>
        </w:tc>
      </w:tr>
      <w:tr w:rsidR="00EA216F" w14:paraId="117EDCC6" w14:textId="77777777" w:rsidTr="0070640F">
        <w:tc>
          <w:tcPr>
            <w:tcW w:w="1276" w:type="dxa"/>
            <w:tcBorders>
              <w:top w:val="single" w:sz="8" w:space="0" w:color="000000"/>
              <w:left w:val="single" w:sz="8" w:space="0" w:color="000000"/>
              <w:bottom w:val="single" w:sz="6" w:space="0" w:color="000000"/>
              <w:right w:val="single" w:sz="8" w:space="0" w:color="000000"/>
            </w:tcBorders>
            <w:vAlign w:val="center"/>
          </w:tcPr>
          <w:p w14:paraId="36B63E65" w14:textId="77777777" w:rsidR="00EA216F" w:rsidRDefault="00EA216F" w:rsidP="00EA216F">
            <w:pPr>
              <w:pStyle w:val="biaogecenter"/>
              <w:wordWrap w:val="0"/>
            </w:pPr>
            <w:r>
              <w:rPr>
                <w:rFonts w:hAnsi="Calibri" w:hint="eastAsia"/>
                <w:color w:val="000000"/>
              </w:rPr>
              <w:t>4</w:t>
            </w:r>
          </w:p>
        </w:tc>
        <w:tc>
          <w:tcPr>
            <w:tcW w:w="3709" w:type="dxa"/>
            <w:tcBorders>
              <w:top w:val="single" w:sz="8" w:space="0" w:color="000000"/>
              <w:left w:val="single" w:sz="8" w:space="0" w:color="000000"/>
              <w:bottom w:val="single" w:sz="6" w:space="0" w:color="000000"/>
              <w:right w:val="single" w:sz="8" w:space="0" w:color="000000"/>
            </w:tcBorders>
          </w:tcPr>
          <w:p w14:paraId="08846FF4" w14:textId="2D9C4308" w:rsidR="00EA216F" w:rsidRDefault="00EA216F" w:rsidP="00EA216F">
            <w:pPr>
              <w:pStyle w:val="biaogeleft"/>
              <w:wordWrap w:val="0"/>
            </w:pPr>
            <w:r w:rsidRPr="00BE1113">
              <w:rPr>
                <w:rFonts w:hint="eastAsia"/>
              </w:rPr>
              <w:t>应收利息</w:t>
            </w:r>
          </w:p>
        </w:tc>
        <w:tc>
          <w:tcPr>
            <w:tcW w:w="3119" w:type="dxa"/>
            <w:tcBorders>
              <w:top w:val="single" w:sz="8" w:space="0" w:color="000000"/>
              <w:left w:val="single" w:sz="8" w:space="0" w:color="000000"/>
              <w:bottom w:val="single" w:sz="6" w:space="0" w:color="000000"/>
              <w:right w:val="single" w:sz="8" w:space="0" w:color="000000"/>
            </w:tcBorders>
          </w:tcPr>
          <w:p w14:paraId="5BC78D26" w14:textId="24349354" w:rsidR="00EA216F" w:rsidRDefault="00EA216F" w:rsidP="00EA216F">
            <w:pPr>
              <w:pStyle w:val="biaogeright"/>
              <w:wordWrap w:val="0"/>
            </w:pPr>
            <w:r w:rsidRPr="00825CAA">
              <w:t>-</w:t>
            </w:r>
          </w:p>
        </w:tc>
      </w:tr>
      <w:tr w:rsidR="00EA216F" w14:paraId="1F602139" w14:textId="77777777" w:rsidTr="0070640F">
        <w:tc>
          <w:tcPr>
            <w:tcW w:w="1276" w:type="dxa"/>
            <w:tcBorders>
              <w:top w:val="single" w:sz="8" w:space="0" w:color="000000"/>
              <w:left w:val="single" w:sz="8" w:space="0" w:color="000000"/>
              <w:bottom w:val="single" w:sz="6" w:space="0" w:color="000000"/>
              <w:right w:val="single" w:sz="8" w:space="0" w:color="000000"/>
            </w:tcBorders>
            <w:vAlign w:val="center"/>
          </w:tcPr>
          <w:p w14:paraId="4AE855F8" w14:textId="77777777" w:rsidR="00EA216F" w:rsidRDefault="00EA216F" w:rsidP="00EA216F">
            <w:pPr>
              <w:pStyle w:val="biaogecenter"/>
              <w:wordWrap w:val="0"/>
            </w:pPr>
            <w:r>
              <w:rPr>
                <w:rFonts w:hAnsi="Calibri" w:hint="eastAsia"/>
                <w:color w:val="000000"/>
              </w:rPr>
              <w:t>5</w:t>
            </w:r>
          </w:p>
        </w:tc>
        <w:tc>
          <w:tcPr>
            <w:tcW w:w="3709" w:type="dxa"/>
            <w:tcBorders>
              <w:top w:val="single" w:sz="8" w:space="0" w:color="000000"/>
              <w:left w:val="single" w:sz="8" w:space="0" w:color="000000"/>
              <w:bottom w:val="single" w:sz="6" w:space="0" w:color="000000"/>
              <w:right w:val="single" w:sz="8" w:space="0" w:color="000000"/>
            </w:tcBorders>
          </w:tcPr>
          <w:p w14:paraId="4E36F438" w14:textId="2EEE6B2A" w:rsidR="00EA216F" w:rsidRDefault="00EA216F" w:rsidP="00EA216F">
            <w:pPr>
              <w:pStyle w:val="biaogeleft"/>
              <w:wordWrap w:val="0"/>
            </w:pPr>
            <w:r w:rsidRPr="00BE1113">
              <w:rPr>
                <w:rFonts w:hint="eastAsia"/>
              </w:rPr>
              <w:t>应收申购款</w:t>
            </w:r>
          </w:p>
        </w:tc>
        <w:tc>
          <w:tcPr>
            <w:tcW w:w="3119" w:type="dxa"/>
            <w:tcBorders>
              <w:top w:val="single" w:sz="8" w:space="0" w:color="000000"/>
              <w:left w:val="single" w:sz="8" w:space="0" w:color="000000"/>
              <w:bottom w:val="single" w:sz="6" w:space="0" w:color="000000"/>
              <w:right w:val="single" w:sz="8" w:space="0" w:color="000000"/>
            </w:tcBorders>
          </w:tcPr>
          <w:p w14:paraId="2D43DC1D" w14:textId="1004D689" w:rsidR="00EA216F" w:rsidRDefault="00EA216F" w:rsidP="00EA216F">
            <w:pPr>
              <w:pStyle w:val="biaogeright"/>
              <w:wordWrap w:val="0"/>
            </w:pPr>
            <w:r w:rsidRPr="00825CAA">
              <w:t>189,325.28</w:t>
            </w:r>
          </w:p>
        </w:tc>
      </w:tr>
      <w:tr w:rsidR="00EA216F" w14:paraId="61E5B318" w14:textId="77777777" w:rsidTr="0070640F">
        <w:tc>
          <w:tcPr>
            <w:tcW w:w="1276" w:type="dxa"/>
            <w:tcBorders>
              <w:top w:val="single" w:sz="8" w:space="0" w:color="000000"/>
              <w:left w:val="single" w:sz="8" w:space="0" w:color="000000"/>
              <w:bottom w:val="single" w:sz="6" w:space="0" w:color="000000"/>
              <w:right w:val="single" w:sz="8" w:space="0" w:color="000000"/>
            </w:tcBorders>
            <w:vAlign w:val="center"/>
          </w:tcPr>
          <w:p w14:paraId="45E755A2" w14:textId="77777777" w:rsidR="00EA216F" w:rsidRDefault="00EA216F" w:rsidP="00EA216F">
            <w:pPr>
              <w:pStyle w:val="biaogecenter"/>
              <w:wordWrap w:val="0"/>
            </w:pPr>
            <w:r>
              <w:rPr>
                <w:rFonts w:hAnsi="Calibri" w:hint="eastAsia"/>
                <w:color w:val="000000"/>
              </w:rPr>
              <w:t>6</w:t>
            </w:r>
          </w:p>
        </w:tc>
        <w:tc>
          <w:tcPr>
            <w:tcW w:w="3709" w:type="dxa"/>
            <w:tcBorders>
              <w:top w:val="single" w:sz="8" w:space="0" w:color="000000"/>
              <w:left w:val="single" w:sz="8" w:space="0" w:color="000000"/>
              <w:bottom w:val="single" w:sz="6" w:space="0" w:color="000000"/>
              <w:right w:val="single" w:sz="8" w:space="0" w:color="000000"/>
            </w:tcBorders>
          </w:tcPr>
          <w:p w14:paraId="56CCFE18" w14:textId="7935E176" w:rsidR="00EA216F" w:rsidRDefault="00EA216F" w:rsidP="00EA216F">
            <w:pPr>
              <w:pStyle w:val="biaogeleft"/>
              <w:wordWrap w:val="0"/>
            </w:pPr>
            <w:r w:rsidRPr="00BE1113">
              <w:rPr>
                <w:rFonts w:hint="eastAsia"/>
              </w:rPr>
              <w:t>其他应收款</w:t>
            </w:r>
          </w:p>
        </w:tc>
        <w:tc>
          <w:tcPr>
            <w:tcW w:w="3119" w:type="dxa"/>
            <w:tcBorders>
              <w:top w:val="single" w:sz="8" w:space="0" w:color="000000"/>
              <w:left w:val="single" w:sz="8" w:space="0" w:color="000000"/>
              <w:bottom w:val="single" w:sz="6" w:space="0" w:color="000000"/>
              <w:right w:val="single" w:sz="8" w:space="0" w:color="000000"/>
            </w:tcBorders>
          </w:tcPr>
          <w:p w14:paraId="113CBB2F" w14:textId="24A6F128" w:rsidR="00EA216F" w:rsidRDefault="00EA216F" w:rsidP="00EA216F">
            <w:pPr>
              <w:pStyle w:val="biaogeright"/>
              <w:wordWrap w:val="0"/>
            </w:pPr>
            <w:r w:rsidRPr="00825CAA">
              <w:t>-</w:t>
            </w:r>
          </w:p>
        </w:tc>
      </w:tr>
      <w:tr w:rsidR="00EA216F" w14:paraId="1048FB1F" w14:textId="77777777" w:rsidTr="0070640F">
        <w:tc>
          <w:tcPr>
            <w:tcW w:w="1276" w:type="dxa"/>
            <w:tcBorders>
              <w:top w:val="single" w:sz="8" w:space="0" w:color="000000"/>
              <w:left w:val="single" w:sz="8" w:space="0" w:color="000000"/>
              <w:bottom w:val="single" w:sz="6" w:space="0" w:color="000000"/>
              <w:right w:val="single" w:sz="8" w:space="0" w:color="000000"/>
            </w:tcBorders>
            <w:vAlign w:val="center"/>
          </w:tcPr>
          <w:p w14:paraId="44148253" w14:textId="77777777" w:rsidR="00EA216F" w:rsidRDefault="00EA216F" w:rsidP="00EA216F">
            <w:pPr>
              <w:pStyle w:val="biaogecenter"/>
              <w:wordWrap w:val="0"/>
            </w:pPr>
            <w:r>
              <w:rPr>
                <w:rFonts w:hAnsi="Calibri" w:hint="eastAsia"/>
                <w:color w:val="000000"/>
              </w:rPr>
              <w:t>7</w:t>
            </w:r>
          </w:p>
        </w:tc>
        <w:tc>
          <w:tcPr>
            <w:tcW w:w="3709" w:type="dxa"/>
            <w:tcBorders>
              <w:top w:val="single" w:sz="8" w:space="0" w:color="000000"/>
              <w:left w:val="single" w:sz="8" w:space="0" w:color="000000"/>
              <w:bottom w:val="single" w:sz="6" w:space="0" w:color="000000"/>
              <w:right w:val="single" w:sz="8" w:space="0" w:color="000000"/>
            </w:tcBorders>
          </w:tcPr>
          <w:p w14:paraId="61D8857D" w14:textId="53A84B26" w:rsidR="00EA216F" w:rsidRDefault="00EA216F" w:rsidP="00EA216F">
            <w:pPr>
              <w:pStyle w:val="biaogeleft"/>
              <w:wordWrap w:val="0"/>
            </w:pPr>
            <w:r w:rsidRPr="00BE1113">
              <w:rPr>
                <w:rFonts w:hint="eastAsia"/>
              </w:rPr>
              <w:t>其他</w:t>
            </w:r>
          </w:p>
        </w:tc>
        <w:tc>
          <w:tcPr>
            <w:tcW w:w="3119" w:type="dxa"/>
            <w:tcBorders>
              <w:top w:val="single" w:sz="8" w:space="0" w:color="000000"/>
              <w:left w:val="single" w:sz="8" w:space="0" w:color="000000"/>
              <w:bottom w:val="single" w:sz="6" w:space="0" w:color="000000"/>
              <w:right w:val="single" w:sz="8" w:space="0" w:color="000000"/>
            </w:tcBorders>
          </w:tcPr>
          <w:p w14:paraId="4A85F65C" w14:textId="337E4587" w:rsidR="00EA216F" w:rsidRDefault="00EA216F" w:rsidP="00EA216F">
            <w:pPr>
              <w:pStyle w:val="biaogeright"/>
              <w:wordWrap w:val="0"/>
            </w:pPr>
            <w:r w:rsidRPr="00825CAA">
              <w:t>-</w:t>
            </w:r>
          </w:p>
        </w:tc>
      </w:tr>
      <w:tr w:rsidR="00EA216F" w14:paraId="3DCB4F4A" w14:textId="77777777" w:rsidTr="0070640F">
        <w:tc>
          <w:tcPr>
            <w:tcW w:w="1276" w:type="dxa"/>
            <w:tcBorders>
              <w:top w:val="single" w:sz="8" w:space="0" w:color="000000"/>
              <w:left w:val="single" w:sz="8" w:space="0" w:color="000000"/>
              <w:bottom w:val="single" w:sz="6" w:space="0" w:color="000000"/>
              <w:right w:val="single" w:sz="8" w:space="0" w:color="000000"/>
            </w:tcBorders>
            <w:vAlign w:val="center"/>
          </w:tcPr>
          <w:p w14:paraId="5AD6839D" w14:textId="77777777" w:rsidR="00EA216F" w:rsidRDefault="00EA216F" w:rsidP="00EA216F">
            <w:pPr>
              <w:pStyle w:val="biaogecenter"/>
              <w:wordWrap w:val="0"/>
            </w:pPr>
            <w:r>
              <w:rPr>
                <w:rFonts w:hAnsi="Calibri" w:hint="eastAsia"/>
                <w:color w:val="000000"/>
              </w:rPr>
              <w:t>8</w:t>
            </w:r>
          </w:p>
        </w:tc>
        <w:tc>
          <w:tcPr>
            <w:tcW w:w="3709" w:type="dxa"/>
            <w:tcBorders>
              <w:top w:val="single" w:sz="8" w:space="0" w:color="000000"/>
              <w:left w:val="single" w:sz="8" w:space="0" w:color="000000"/>
              <w:bottom w:val="single" w:sz="6" w:space="0" w:color="000000"/>
              <w:right w:val="single" w:sz="8" w:space="0" w:color="000000"/>
            </w:tcBorders>
          </w:tcPr>
          <w:p w14:paraId="72841671" w14:textId="162280D0" w:rsidR="00EA216F" w:rsidRDefault="00EA216F" w:rsidP="00EA216F">
            <w:pPr>
              <w:pStyle w:val="biaogeleft"/>
              <w:wordWrap w:val="0"/>
            </w:pPr>
            <w:r w:rsidRPr="00BE1113">
              <w:rPr>
                <w:rFonts w:hint="eastAsia"/>
              </w:rPr>
              <w:t>合计</w:t>
            </w:r>
          </w:p>
        </w:tc>
        <w:tc>
          <w:tcPr>
            <w:tcW w:w="3119" w:type="dxa"/>
            <w:tcBorders>
              <w:top w:val="single" w:sz="8" w:space="0" w:color="000000"/>
              <w:left w:val="single" w:sz="8" w:space="0" w:color="000000"/>
              <w:bottom w:val="single" w:sz="6" w:space="0" w:color="000000"/>
              <w:right w:val="single" w:sz="8" w:space="0" w:color="000000"/>
            </w:tcBorders>
          </w:tcPr>
          <w:p w14:paraId="505DE948" w14:textId="0E3E1627" w:rsidR="00EA216F" w:rsidRDefault="00EA216F" w:rsidP="00EA216F">
            <w:pPr>
              <w:pStyle w:val="biaogeright"/>
              <w:wordWrap w:val="0"/>
            </w:pPr>
            <w:r w:rsidRPr="00825CAA">
              <w:t>23,538,554.52</w:t>
            </w:r>
          </w:p>
        </w:tc>
      </w:tr>
    </w:tbl>
    <w:p w14:paraId="3BADA572" w14:textId="77777777" w:rsidR="008A6127" w:rsidRDefault="008A6127">
      <w:pPr>
        <w:snapToGrid w:val="0"/>
        <w:spacing w:line="360" w:lineRule="auto"/>
        <w:ind w:firstLineChars="200" w:firstLine="480"/>
        <w:rPr>
          <w:rFonts w:ascii="宋体" w:hAnsi="宋体"/>
          <w:sz w:val="24"/>
        </w:rPr>
      </w:pPr>
    </w:p>
    <w:p w14:paraId="0FB0DEE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（4）报告期末持有的处于转股期的可转换债券明细</w:t>
      </w:r>
    </w:p>
    <w:p w14:paraId="0F64319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本基金本报告期末未持有处于转股期的可转债。</w:t>
      </w:r>
    </w:p>
    <w:p w14:paraId="11D02AE1" w14:textId="77777777" w:rsidR="008A6127" w:rsidRDefault="008A6127">
      <w:pPr>
        <w:snapToGrid w:val="0"/>
        <w:spacing w:line="360" w:lineRule="auto"/>
        <w:ind w:firstLineChars="200" w:firstLine="480"/>
        <w:rPr>
          <w:rFonts w:ascii="宋体" w:hAnsi="宋体"/>
          <w:sz w:val="24"/>
        </w:rPr>
      </w:pPr>
    </w:p>
    <w:p w14:paraId="7A09C13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（5）报告</w:t>
      </w:r>
      <w:proofErr w:type="gramStart"/>
      <w:r>
        <w:rPr>
          <w:rFonts w:ascii="宋体" w:hAnsi="宋体" w:hint="eastAsia"/>
          <w:sz w:val="24"/>
        </w:rPr>
        <w:t>期末前</w:t>
      </w:r>
      <w:proofErr w:type="gramEnd"/>
      <w:r>
        <w:rPr>
          <w:rFonts w:ascii="宋体" w:hAnsi="宋体" w:hint="eastAsia"/>
          <w:sz w:val="24"/>
        </w:rPr>
        <w:t>十名股票中存在流通受限情况的说明</w:t>
      </w:r>
    </w:p>
    <w:p w14:paraId="4A40595A" w14:textId="4968148E" w:rsidR="008A6127" w:rsidRPr="00FC0908" w:rsidRDefault="00216F47" w:rsidP="00FC0908">
      <w:pPr>
        <w:snapToGrid w:val="0"/>
        <w:spacing w:line="360" w:lineRule="auto"/>
        <w:ind w:firstLineChars="200" w:firstLine="480"/>
        <w:rPr>
          <w:rFonts w:ascii="宋体" w:hAnsi="宋体"/>
          <w:sz w:val="24"/>
        </w:rPr>
      </w:pPr>
      <w:r w:rsidRPr="00FC0908">
        <w:rPr>
          <w:rFonts w:ascii="宋体" w:hAnsi="宋体" w:hint="eastAsia"/>
          <w:sz w:val="24"/>
        </w:rPr>
        <w:t>本基金本报告</w:t>
      </w:r>
      <w:proofErr w:type="gramStart"/>
      <w:r w:rsidRPr="00FC0908">
        <w:rPr>
          <w:rFonts w:ascii="宋体" w:hAnsi="宋体" w:hint="eastAsia"/>
          <w:sz w:val="24"/>
        </w:rPr>
        <w:t>期末前</w:t>
      </w:r>
      <w:proofErr w:type="gramEnd"/>
      <w:r w:rsidRPr="00FC0908">
        <w:rPr>
          <w:rFonts w:ascii="宋体" w:hAnsi="宋体" w:hint="eastAsia"/>
          <w:sz w:val="24"/>
        </w:rPr>
        <w:t>十名股票中不存在流通受限情况。</w:t>
      </w:r>
    </w:p>
    <w:p w14:paraId="38E9790F" w14:textId="77777777" w:rsidR="00216F47" w:rsidRDefault="00216F47">
      <w:pPr>
        <w:snapToGrid w:val="0"/>
        <w:spacing w:line="360" w:lineRule="auto"/>
        <w:rPr>
          <w:rFonts w:ascii="宋体" w:hAnsi="宋体"/>
          <w:b/>
          <w:bCs/>
          <w:sz w:val="24"/>
        </w:rPr>
      </w:pPr>
    </w:p>
    <w:p w14:paraId="21B09E6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6</w:t>
      </w:r>
      <w:r>
        <w:rPr>
          <w:rFonts w:ascii="宋体" w:hAnsi="宋体" w:hint="eastAsia"/>
          <w:sz w:val="24"/>
        </w:rPr>
        <w:t>）投资组合报告附注的其他文字描述部分</w:t>
      </w:r>
    </w:p>
    <w:p w14:paraId="0FBA6F14" w14:textId="77777777" w:rsidR="008A6127" w:rsidRDefault="00437D9F">
      <w:pPr>
        <w:snapToGrid w:val="0"/>
        <w:spacing w:line="360" w:lineRule="auto"/>
        <w:ind w:firstLineChars="200" w:firstLine="480"/>
        <w:rPr>
          <w:rFonts w:ascii="宋体" w:hAnsi="宋体"/>
          <w:b/>
          <w:bCs/>
          <w:sz w:val="24"/>
        </w:rPr>
        <w:sectPr w:rsidR="008A6127">
          <w:pgSz w:w="11906" w:h="16838"/>
          <w:pgMar w:top="1440" w:right="1800" w:bottom="1440" w:left="1800" w:header="851" w:footer="992" w:gutter="0"/>
          <w:cols w:space="720"/>
          <w:docGrid w:type="lines" w:linePitch="312"/>
        </w:sectPr>
      </w:pPr>
      <w:r>
        <w:rPr>
          <w:rFonts w:ascii="宋体" w:hAnsi="宋体" w:hint="eastAsia"/>
          <w:sz w:val="24"/>
        </w:rPr>
        <w:t>因四舍五入原因，投资组合报告中市值占净值比例的分项之和与合计可能存在尾差。</w:t>
      </w:r>
    </w:p>
    <w:p w14:paraId="7E43FD92"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278" w:name="_Toc204678789"/>
      <w:r>
        <w:rPr>
          <w:rFonts w:ascii="Cambria" w:hAnsi="Cambria" w:hint="eastAsia"/>
          <w:sz w:val="32"/>
          <w:szCs w:val="32"/>
        </w:rPr>
        <w:lastRenderedPageBreak/>
        <w:t>基金的业绩</w:t>
      </w:r>
      <w:bookmarkEnd w:id="278"/>
    </w:p>
    <w:p w14:paraId="3C413F0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2E1C8215" w14:textId="2FA15E97" w:rsidR="008A6127" w:rsidRDefault="00437D9F">
      <w:pPr>
        <w:snapToGrid w:val="0"/>
        <w:spacing w:line="360" w:lineRule="auto"/>
        <w:ind w:firstLineChars="200" w:firstLine="480"/>
        <w:rPr>
          <w:rFonts w:ascii="宋体" w:hAnsi="宋体"/>
          <w:sz w:val="24"/>
        </w:rPr>
      </w:pPr>
      <w:r>
        <w:rPr>
          <w:rFonts w:ascii="宋体" w:hAnsi="宋体" w:hint="eastAsia"/>
          <w:sz w:val="24"/>
        </w:rPr>
        <w:t>本基金合同生效日为2019年</w:t>
      </w:r>
      <w:r>
        <w:rPr>
          <w:rFonts w:ascii="宋体" w:hAnsi="宋体"/>
          <w:sz w:val="24"/>
        </w:rPr>
        <w:t>6</w:t>
      </w:r>
      <w:r>
        <w:rPr>
          <w:rFonts w:ascii="宋体" w:hAnsi="宋体" w:hint="eastAsia"/>
          <w:sz w:val="24"/>
        </w:rPr>
        <w:t>月</w:t>
      </w:r>
      <w:r>
        <w:rPr>
          <w:rFonts w:ascii="宋体" w:hAnsi="宋体"/>
          <w:sz w:val="24"/>
        </w:rPr>
        <w:t>27</w:t>
      </w:r>
      <w:r>
        <w:rPr>
          <w:rFonts w:ascii="宋体" w:hAnsi="宋体" w:hint="eastAsia"/>
          <w:sz w:val="24"/>
        </w:rPr>
        <w:t>日，基金业绩截止日为</w:t>
      </w:r>
      <w:r w:rsidR="00EA216F">
        <w:rPr>
          <w:rFonts w:ascii="宋体" w:hAnsi="宋体"/>
          <w:sz w:val="24"/>
        </w:rPr>
        <w:t>2026</w:t>
      </w:r>
      <w:r w:rsidR="00EA216F">
        <w:rPr>
          <w:rFonts w:ascii="宋体" w:hAnsi="宋体" w:hint="eastAsia"/>
          <w:sz w:val="24"/>
        </w:rPr>
        <w:t>年</w:t>
      </w:r>
      <w:r w:rsidR="00EA216F">
        <w:rPr>
          <w:rFonts w:ascii="宋体" w:hAnsi="宋体"/>
          <w:sz w:val="24"/>
        </w:rPr>
        <w:t>6</w:t>
      </w:r>
      <w:r>
        <w:rPr>
          <w:rFonts w:ascii="宋体" w:hAnsi="宋体" w:hint="eastAsia"/>
          <w:sz w:val="24"/>
        </w:rPr>
        <w:t>月</w:t>
      </w:r>
      <w:r w:rsidR="00EA216F">
        <w:rPr>
          <w:rFonts w:ascii="宋体" w:hAnsi="宋体"/>
          <w:sz w:val="24"/>
        </w:rPr>
        <w:t>30</w:t>
      </w:r>
      <w:r>
        <w:rPr>
          <w:rFonts w:ascii="宋体" w:hAnsi="宋体" w:hint="eastAsia"/>
          <w:sz w:val="24"/>
        </w:rPr>
        <w:t>日。</w:t>
      </w:r>
    </w:p>
    <w:p w14:paraId="16B7277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1、本报告</w:t>
      </w:r>
      <w:proofErr w:type="gramStart"/>
      <w:r>
        <w:rPr>
          <w:rFonts w:ascii="宋体" w:hAnsi="宋体" w:hint="eastAsia"/>
          <w:sz w:val="24"/>
        </w:rPr>
        <w:t>期基金</w:t>
      </w:r>
      <w:proofErr w:type="gramEnd"/>
      <w:r>
        <w:rPr>
          <w:rFonts w:ascii="宋体" w:hAnsi="宋体" w:hint="eastAsia"/>
          <w:sz w:val="24"/>
        </w:rPr>
        <w:t>份额净值增长率及其与同期业绩比较基准收益率的比较</w:t>
      </w:r>
    </w:p>
    <w:p w14:paraId="0B72A14F" w14:textId="77777777" w:rsidR="008A6127" w:rsidRDefault="00437D9F">
      <w:pPr>
        <w:pStyle w:val="biaogeleft"/>
        <w:rPr>
          <w:rFonts w:hAnsi="Calibri"/>
          <w:color w:val="000000"/>
        </w:rPr>
      </w:pPr>
      <w:r>
        <w:rPr>
          <w:rFonts w:hAnsi="Calibri" w:hint="eastAsia"/>
          <w:color w:val="000000"/>
        </w:rPr>
        <w:t>朱雀产业</w:t>
      </w:r>
      <w:proofErr w:type="gramStart"/>
      <w:r>
        <w:rPr>
          <w:rFonts w:hAnsi="Calibri" w:hint="eastAsia"/>
          <w:color w:val="000000"/>
        </w:rPr>
        <w:t>臻</w:t>
      </w:r>
      <w:proofErr w:type="gramEnd"/>
      <w:r>
        <w:rPr>
          <w:rFonts w:hAnsi="Calibri" w:hint="eastAsia"/>
          <w:color w:val="000000"/>
        </w:rPr>
        <w:t>选A净值表现</w:t>
      </w:r>
    </w:p>
    <w:tbl>
      <w:tblPr>
        <w:tblW w:w="9120" w:type="dxa"/>
        <w:jc w:val="center"/>
        <w:tblLook w:val="04A0" w:firstRow="1" w:lastRow="0" w:firstColumn="1" w:lastColumn="0" w:noHBand="0" w:noVBand="1"/>
      </w:tblPr>
      <w:tblGrid>
        <w:gridCol w:w="1429"/>
        <w:gridCol w:w="1065"/>
        <w:gridCol w:w="1174"/>
        <w:gridCol w:w="1565"/>
        <w:gridCol w:w="1278"/>
        <w:gridCol w:w="1374"/>
        <w:gridCol w:w="1235"/>
      </w:tblGrid>
      <w:tr w:rsidR="008A6127" w14:paraId="3BCCF22C" w14:textId="77777777">
        <w:trPr>
          <w:jc w:val="center"/>
        </w:trPr>
        <w:tc>
          <w:tcPr>
            <w:tcW w:w="1429" w:type="dxa"/>
            <w:tcBorders>
              <w:top w:val="single" w:sz="8" w:space="0" w:color="000000"/>
              <w:left w:val="single" w:sz="8" w:space="0" w:color="000000"/>
              <w:bottom w:val="single" w:sz="6" w:space="0" w:color="000000"/>
              <w:right w:val="single" w:sz="8" w:space="0" w:color="000000"/>
            </w:tcBorders>
            <w:vAlign w:val="center"/>
          </w:tcPr>
          <w:p w14:paraId="47A2FE55" w14:textId="77777777" w:rsidR="008A6127" w:rsidRDefault="00437D9F">
            <w:pPr>
              <w:pStyle w:val="biaogeleft"/>
              <w:wordWrap w:val="0"/>
            </w:pPr>
            <w:r>
              <w:rPr>
                <w:rFonts w:hint="eastAsia"/>
              </w:rPr>
              <w:t>阶段</w:t>
            </w:r>
          </w:p>
        </w:tc>
        <w:tc>
          <w:tcPr>
            <w:tcW w:w="1065" w:type="dxa"/>
            <w:tcBorders>
              <w:top w:val="single" w:sz="8" w:space="0" w:color="000000"/>
              <w:left w:val="single" w:sz="8" w:space="0" w:color="000000"/>
              <w:bottom w:val="single" w:sz="6" w:space="0" w:color="000000"/>
              <w:right w:val="single" w:sz="8" w:space="0" w:color="000000"/>
            </w:tcBorders>
            <w:vAlign w:val="center"/>
          </w:tcPr>
          <w:p w14:paraId="5303EA47" w14:textId="77777777" w:rsidR="008A6127" w:rsidRDefault="00437D9F">
            <w:pPr>
              <w:pStyle w:val="biaogecenter"/>
              <w:wordWrap w:val="0"/>
            </w:pPr>
            <w:r>
              <w:rPr>
                <w:rFonts w:hint="eastAsia"/>
              </w:rPr>
              <w:t>净值增长率①</w:t>
            </w:r>
          </w:p>
        </w:tc>
        <w:tc>
          <w:tcPr>
            <w:tcW w:w="1174" w:type="dxa"/>
            <w:tcBorders>
              <w:top w:val="single" w:sz="8" w:space="0" w:color="000000"/>
              <w:left w:val="single" w:sz="8" w:space="0" w:color="000000"/>
              <w:bottom w:val="single" w:sz="6" w:space="0" w:color="000000"/>
              <w:right w:val="single" w:sz="8" w:space="0" w:color="000000"/>
            </w:tcBorders>
            <w:vAlign w:val="center"/>
          </w:tcPr>
          <w:p w14:paraId="583F991B" w14:textId="77777777" w:rsidR="008A6127" w:rsidRDefault="00437D9F">
            <w:pPr>
              <w:pStyle w:val="biaogecenter"/>
              <w:wordWrap w:val="0"/>
            </w:pPr>
            <w:r>
              <w:rPr>
                <w:rFonts w:hint="eastAsia"/>
              </w:rPr>
              <w:t>净值增长率标准差②</w:t>
            </w:r>
          </w:p>
        </w:tc>
        <w:tc>
          <w:tcPr>
            <w:tcW w:w="1565" w:type="dxa"/>
            <w:tcBorders>
              <w:top w:val="single" w:sz="8" w:space="0" w:color="000000"/>
              <w:left w:val="single" w:sz="8" w:space="0" w:color="000000"/>
              <w:bottom w:val="single" w:sz="6" w:space="0" w:color="000000"/>
              <w:right w:val="single" w:sz="8" w:space="0" w:color="000000"/>
            </w:tcBorders>
            <w:vAlign w:val="center"/>
          </w:tcPr>
          <w:p w14:paraId="1AE18F8E" w14:textId="77777777" w:rsidR="008A6127" w:rsidRDefault="00437D9F">
            <w:pPr>
              <w:pStyle w:val="biaogecenter"/>
              <w:wordWrap w:val="0"/>
            </w:pPr>
            <w:r>
              <w:rPr>
                <w:rFonts w:hint="eastAsia"/>
              </w:rPr>
              <w:t>业绩比较基准收益率③</w:t>
            </w:r>
          </w:p>
        </w:tc>
        <w:tc>
          <w:tcPr>
            <w:tcW w:w="1278" w:type="dxa"/>
            <w:tcBorders>
              <w:top w:val="single" w:sz="8" w:space="0" w:color="000000"/>
              <w:left w:val="single" w:sz="8" w:space="0" w:color="000000"/>
              <w:bottom w:val="single" w:sz="6" w:space="0" w:color="000000"/>
              <w:right w:val="single" w:sz="8" w:space="0" w:color="000000"/>
            </w:tcBorders>
            <w:vAlign w:val="center"/>
          </w:tcPr>
          <w:p w14:paraId="5A4CFFE5" w14:textId="77777777" w:rsidR="008A6127" w:rsidRDefault="00437D9F">
            <w:pPr>
              <w:pStyle w:val="biaogecenter"/>
              <w:wordWrap w:val="0"/>
            </w:pPr>
            <w:r>
              <w:rPr>
                <w:rFonts w:hint="eastAsia"/>
              </w:rPr>
              <w:t>业绩比较基准收益率标准差④</w:t>
            </w:r>
          </w:p>
        </w:tc>
        <w:tc>
          <w:tcPr>
            <w:tcW w:w="1374" w:type="dxa"/>
            <w:tcBorders>
              <w:top w:val="single" w:sz="8" w:space="0" w:color="000000"/>
              <w:left w:val="single" w:sz="8" w:space="0" w:color="000000"/>
              <w:bottom w:val="single" w:sz="6" w:space="0" w:color="000000"/>
              <w:right w:val="single" w:sz="8" w:space="0" w:color="000000"/>
            </w:tcBorders>
            <w:vAlign w:val="center"/>
          </w:tcPr>
          <w:p w14:paraId="5701CEB4" w14:textId="77777777" w:rsidR="008A6127" w:rsidRDefault="00437D9F">
            <w:pPr>
              <w:pStyle w:val="biaogecenter"/>
              <w:wordWrap w:val="0"/>
            </w:pPr>
            <w:r>
              <w:rPr>
                <w:rFonts w:hint="eastAsia"/>
              </w:rPr>
              <w:t>①-③</w:t>
            </w:r>
          </w:p>
        </w:tc>
        <w:tc>
          <w:tcPr>
            <w:tcW w:w="1235" w:type="dxa"/>
            <w:tcBorders>
              <w:top w:val="single" w:sz="8" w:space="0" w:color="000000"/>
              <w:left w:val="single" w:sz="8" w:space="0" w:color="000000"/>
              <w:bottom w:val="single" w:sz="6" w:space="0" w:color="000000"/>
              <w:right w:val="single" w:sz="8" w:space="0" w:color="000000"/>
            </w:tcBorders>
            <w:vAlign w:val="center"/>
          </w:tcPr>
          <w:p w14:paraId="7B63B969" w14:textId="77777777" w:rsidR="008A6127" w:rsidRDefault="00437D9F">
            <w:pPr>
              <w:pStyle w:val="biaogecenter"/>
              <w:wordWrap w:val="0"/>
            </w:pPr>
            <w:r>
              <w:rPr>
                <w:rFonts w:hint="eastAsia"/>
              </w:rPr>
              <w:t>②-④</w:t>
            </w:r>
          </w:p>
        </w:tc>
      </w:tr>
      <w:tr w:rsidR="00EA216F" w14:paraId="469FDF05" w14:textId="77777777" w:rsidTr="00F94CAE">
        <w:trPr>
          <w:jc w:val="center"/>
        </w:trPr>
        <w:tc>
          <w:tcPr>
            <w:tcW w:w="1429" w:type="dxa"/>
            <w:tcBorders>
              <w:top w:val="single" w:sz="8" w:space="0" w:color="000000"/>
              <w:left w:val="single" w:sz="8" w:space="0" w:color="000000"/>
              <w:bottom w:val="single" w:sz="6" w:space="0" w:color="000000"/>
              <w:right w:val="single" w:sz="8" w:space="0" w:color="000000"/>
            </w:tcBorders>
          </w:tcPr>
          <w:p w14:paraId="407353BB" w14:textId="5CB686C5" w:rsidR="00EA216F" w:rsidRDefault="00EA216F" w:rsidP="00EA216F">
            <w:pPr>
              <w:pStyle w:val="biaogeleft"/>
              <w:wordWrap w:val="0"/>
            </w:pPr>
            <w:r w:rsidRPr="00986D62">
              <w:rPr>
                <w:rFonts w:hint="eastAsia"/>
              </w:rPr>
              <w:t>过去三个月</w:t>
            </w:r>
          </w:p>
        </w:tc>
        <w:tc>
          <w:tcPr>
            <w:tcW w:w="1065" w:type="dxa"/>
            <w:tcBorders>
              <w:top w:val="single" w:sz="8" w:space="0" w:color="000000"/>
              <w:left w:val="single" w:sz="8" w:space="0" w:color="000000"/>
              <w:bottom w:val="single" w:sz="6" w:space="0" w:color="000000"/>
              <w:right w:val="single" w:sz="8" w:space="0" w:color="000000"/>
            </w:tcBorders>
            <w:tcMar>
              <w:left w:w="0" w:type="dxa"/>
              <w:right w:w="0" w:type="dxa"/>
            </w:tcMar>
          </w:tcPr>
          <w:p w14:paraId="23600D4B" w14:textId="615D0B15" w:rsidR="00EA216F" w:rsidRDefault="00EA216F" w:rsidP="00EA216F">
            <w:pPr>
              <w:pStyle w:val="biaogecenter"/>
              <w:wordWrap w:val="0"/>
            </w:pPr>
            <w:r w:rsidRPr="00986D62">
              <w:rPr>
                <w:rFonts w:hint="eastAsia"/>
              </w:rPr>
              <w:t>10.20%</w:t>
            </w:r>
          </w:p>
        </w:tc>
        <w:tc>
          <w:tcPr>
            <w:tcW w:w="1174" w:type="dxa"/>
            <w:tcBorders>
              <w:top w:val="single" w:sz="8" w:space="0" w:color="000000"/>
              <w:left w:val="single" w:sz="8" w:space="0" w:color="000000"/>
              <w:bottom w:val="single" w:sz="6" w:space="0" w:color="000000"/>
              <w:right w:val="single" w:sz="8" w:space="0" w:color="000000"/>
            </w:tcBorders>
            <w:tcMar>
              <w:left w:w="0" w:type="dxa"/>
              <w:right w:w="0" w:type="dxa"/>
            </w:tcMar>
          </w:tcPr>
          <w:p w14:paraId="36EAC05A" w14:textId="497F0476" w:rsidR="00EA216F" w:rsidRDefault="00EA216F" w:rsidP="00EA216F">
            <w:pPr>
              <w:pStyle w:val="biaogecenter"/>
              <w:wordWrap w:val="0"/>
            </w:pPr>
            <w:r w:rsidRPr="00986D62">
              <w:rPr>
                <w:rFonts w:hint="eastAsia"/>
              </w:rPr>
              <w:t>1.59%</w:t>
            </w:r>
          </w:p>
        </w:tc>
        <w:tc>
          <w:tcPr>
            <w:tcW w:w="1565" w:type="dxa"/>
            <w:tcBorders>
              <w:top w:val="single" w:sz="8" w:space="0" w:color="000000"/>
              <w:left w:val="single" w:sz="8" w:space="0" w:color="000000"/>
              <w:bottom w:val="single" w:sz="6" w:space="0" w:color="000000"/>
              <w:right w:val="single" w:sz="8" w:space="0" w:color="000000"/>
            </w:tcBorders>
            <w:tcMar>
              <w:left w:w="0" w:type="dxa"/>
              <w:right w:w="0" w:type="dxa"/>
            </w:tcMar>
          </w:tcPr>
          <w:p w14:paraId="66E208D2" w14:textId="28DB08EC" w:rsidR="00EA216F" w:rsidRDefault="00EA216F" w:rsidP="00EA216F">
            <w:pPr>
              <w:pStyle w:val="biaogecenter"/>
              <w:wordWrap w:val="0"/>
            </w:pPr>
            <w:r w:rsidRPr="00986D62">
              <w:rPr>
                <w:rFonts w:hint="eastAsia"/>
              </w:rPr>
              <w:t>5.19%</w:t>
            </w:r>
          </w:p>
        </w:tc>
        <w:tc>
          <w:tcPr>
            <w:tcW w:w="1278" w:type="dxa"/>
            <w:tcBorders>
              <w:top w:val="single" w:sz="8" w:space="0" w:color="000000"/>
              <w:left w:val="single" w:sz="8" w:space="0" w:color="000000"/>
              <w:bottom w:val="single" w:sz="6" w:space="0" w:color="000000"/>
              <w:right w:val="single" w:sz="8" w:space="0" w:color="000000"/>
            </w:tcBorders>
            <w:tcMar>
              <w:left w:w="0" w:type="dxa"/>
              <w:right w:w="0" w:type="dxa"/>
            </w:tcMar>
          </w:tcPr>
          <w:p w14:paraId="08794F1D" w14:textId="75F20858" w:rsidR="00EA216F" w:rsidRDefault="00EA216F" w:rsidP="00EA216F">
            <w:pPr>
              <w:pStyle w:val="biaogecenter"/>
              <w:wordWrap w:val="0"/>
            </w:pPr>
            <w:r w:rsidRPr="00986D62">
              <w:rPr>
                <w:rFonts w:hint="eastAsia"/>
              </w:rPr>
              <w:t>0.70%</w:t>
            </w:r>
          </w:p>
        </w:tc>
        <w:tc>
          <w:tcPr>
            <w:tcW w:w="1374" w:type="dxa"/>
            <w:tcBorders>
              <w:top w:val="single" w:sz="8" w:space="0" w:color="000000"/>
              <w:left w:val="single" w:sz="8" w:space="0" w:color="000000"/>
              <w:bottom w:val="single" w:sz="6" w:space="0" w:color="000000"/>
              <w:right w:val="single" w:sz="8" w:space="0" w:color="000000"/>
            </w:tcBorders>
            <w:tcMar>
              <w:left w:w="0" w:type="dxa"/>
              <w:right w:w="0" w:type="dxa"/>
            </w:tcMar>
          </w:tcPr>
          <w:p w14:paraId="30DCB173" w14:textId="6137042A" w:rsidR="00EA216F" w:rsidRDefault="00EA216F" w:rsidP="00EA216F">
            <w:pPr>
              <w:pStyle w:val="biaogecenter"/>
              <w:wordWrap w:val="0"/>
            </w:pPr>
            <w:r w:rsidRPr="00986D62">
              <w:rPr>
                <w:rFonts w:hint="eastAsia"/>
              </w:rPr>
              <w:t>5.01%</w:t>
            </w:r>
          </w:p>
        </w:tc>
        <w:tc>
          <w:tcPr>
            <w:tcW w:w="0" w:type="auto"/>
            <w:tcBorders>
              <w:top w:val="single" w:sz="8" w:space="0" w:color="000000"/>
              <w:left w:val="single" w:sz="8" w:space="0" w:color="000000"/>
              <w:bottom w:val="single" w:sz="6" w:space="0" w:color="000000"/>
              <w:right w:val="single" w:sz="8" w:space="0" w:color="000000"/>
            </w:tcBorders>
            <w:tcMar>
              <w:left w:w="0" w:type="dxa"/>
              <w:right w:w="0" w:type="dxa"/>
            </w:tcMar>
          </w:tcPr>
          <w:p w14:paraId="1D905F2C" w14:textId="16A7A430" w:rsidR="00EA216F" w:rsidRDefault="00EA216F" w:rsidP="00EA216F">
            <w:pPr>
              <w:pStyle w:val="biaogecenter"/>
              <w:wordWrap w:val="0"/>
            </w:pPr>
            <w:r w:rsidRPr="00986D62">
              <w:rPr>
                <w:rFonts w:hint="eastAsia"/>
              </w:rPr>
              <w:t>0.89%</w:t>
            </w:r>
          </w:p>
        </w:tc>
      </w:tr>
      <w:tr w:rsidR="00EA216F" w14:paraId="58C413D8" w14:textId="77777777" w:rsidTr="00F94CAE">
        <w:trPr>
          <w:jc w:val="center"/>
        </w:trPr>
        <w:tc>
          <w:tcPr>
            <w:tcW w:w="1429" w:type="dxa"/>
            <w:tcBorders>
              <w:top w:val="single" w:sz="8" w:space="0" w:color="000000"/>
              <w:left w:val="single" w:sz="8" w:space="0" w:color="000000"/>
              <w:bottom w:val="single" w:sz="6" w:space="0" w:color="000000"/>
              <w:right w:val="single" w:sz="8" w:space="0" w:color="000000"/>
            </w:tcBorders>
          </w:tcPr>
          <w:p w14:paraId="7E3B99F4" w14:textId="3852929D" w:rsidR="00EA216F" w:rsidRDefault="00EA216F" w:rsidP="00EA216F">
            <w:pPr>
              <w:pStyle w:val="biaogeleft"/>
              <w:wordWrap w:val="0"/>
            </w:pPr>
            <w:r w:rsidRPr="00986D62">
              <w:rPr>
                <w:rFonts w:hint="eastAsia"/>
              </w:rPr>
              <w:t>过去六个月</w:t>
            </w:r>
          </w:p>
        </w:tc>
        <w:tc>
          <w:tcPr>
            <w:tcW w:w="1065" w:type="dxa"/>
            <w:tcBorders>
              <w:top w:val="single" w:sz="8" w:space="0" w:color="000000"/>
              <w:left w:val="single" w:sz="8" w:space="0" w:color="000000"/>
              <w:bottom w:val="single" w:sz="6" w:space="0" w:color="000000"/>
              <w:right w:val="single" w:sz="8" w:space="0" w:color="000000"/>
            </w:tcBorders>
            <w:tcMar>
              <w:left w:w="0" w:type="dxa"/>
              <w:right w:w="0" w:type="dxa"/>
            </w:tcMar>
          </w:tcPr>
          <w:p w14:paraId="4F8E2F5C" w14:textId="52CF6E52" w:rsidR="00EA216F" w:rsidRDefault="00EA216F" w:rsidP="00EA216F">
            <w:pPr>
              <w:pStyle w:val="biaogecenter"/>
              <w:wordWrap w:val="0"/>
            </w:pPr>
            <w:r w:rsidRPr="00986D62">
              <w:rPr>
                <w:rFonts w:hint="eastAsia"/>
              </w:rPr>
              <w:t>11.90%</w:t>
            </w:r>
          </w:p>
        </w:tc>
        <w:tc>
          <w:tcPr>
            <w:tcW w:w="1174" w:type="dxa"/>
            <w:tcBorders>
              <w:top w:val="single" w:sz="8" w:space="0" w:color="000000"/>
              <w:left w:val="single" w:sz="8" w:space="0" w:color="000000"/>
              <w:bottom w:val="single" w:sz="6" w:space="0" w:color="000000"/>
              <w:right w:val="single" w:sz="8" w:space="0" w:color="000000"/>
            </w:tcBorders>
            <w:tcMar>
              <w:left w:w="0" w:type="dxa"/>
              <w:right w:w="0" w:type="dxa"/>
            </w:tcMar>
          </w:tcPr>
          <w:p w14:paraId="1CBBB0DE" w14:textId="7AC81F18" w:rsidR="00EA216F" w:rsidRDefault="00EA216F" w:rsidP="00EA216F">
            <w:pPr>
              <w:pStyle w:val="biaogecenter"/>
              <w:wordWrap w:val="0"/>
            </w:pPr>
            <w:r w:rsidRPr="00986D62">
              <w:rPr>
                <w:rFonts w:hint="eastAsia"/>
              </w:rPr>
              <w:t>1.53%</w:t>
            </w:r>
          </w:p>
        </w:tc>
        <w:tc>
          <w:tcPr>
            <w:tcW w:w="1565" w:type="dxa"/>
            <w:tcBorders>
              <w:top w:val="single" w:sz="8" w:space="0" w:color="000000"/>
              <w:left w:val="single" w:sz="8" w:space="0" w:color="000000"/>
              <w:bottom w:val="single" w:sz="6" w:space="0" w:color="000000"/>
              <w:right w:val="single" w:sz="8" w:space="0" w:color="000000"/>
            </w:tcBorders>
            <w:tcMar>
              <w:left w:w="0" w:type="dxa"/>
              <w:right w:w="0" w:type="dxa"/>
            </w:tcMar>
          </w:tcPr>
          <w:p w14:paraId="677D0352" w14:textId="6A5DDDB8" w:rsidR="00EA216F" w:rsidRDefault="00EA216F" w:rsidP="00EA216F">
            <w:pPr>
              <w:pStyle w:val="biaogecenter"/>
              <w:wordWrap w:val="0"/>
            </w:pPr>
            <w:r w:rsidRPr="00986D62">
              <w:rPr>
                <w:rFonts w:hint="eastAsia"/>
              </w:rPr>
              <w:t>2.67%</w:t>
            </w:r>
          </w:p>
        </w:tc>
        <w:tc>
          <w:tcPr>
            <w:tcW w:w="1278" w:type="dxa"/>
            <w:tcBorders>
              <w:top w:val="single" w:sz="8" w:space="0" w:color="000000"/>
              <w:left w:val="single" w:sz="8" w:space="0" w:color="000000"/>
              <w:bottom w:val="single" w:sz="6" w:space="0" w:color="000000"/>
              <w:right w:val="single" w:sz="8" w:space="0" w:color="000000"/>
            </w:tcBorders>
            <w:tcMar>
              <w:left w:w="0" w:type="dxa"/>
              <w:right w:w="0" w:type="dxa"/>
            </w:tcMar>
          </w:tcPr>
          <w:p w14:paraId="41F5565A" w14:textId="2E0FBB61" w:rsidR="00EA216F" w:rsidRDefault="00EA216F" w:rsidP="00EA216F">
            <w:pPr>
              <w:pStyle w:val="biaogecenter"/>
              <w:wordWrap w:val="0"/>
            </w:pPr>
            <w:r w:rsidRPr="00986D62">
              <w:rPr>
                <w:rFonts w:hint="eastAsia"/>
              </w:rPr>
              <w:t>0.65%</w:t>
            </w:r>
          </w:p>
        </w:tc>
        <w:tc>
          <w:tcPr>
            <w:tcW w:w="1374" w:type="dxa"/>
            <w:tcBorders>
              <w:top w:val="single" w:sz="8" w:space="0" w:color="000000"/>
              <w:left w:val="single" w:sz="8" w:space="0" w:color="000000"/>
              <w:bottom w:val="single" w:sz="6" w:space="0" w:color="000000"/>
              <w:right w:val="single" w:sz="8" w:space="0" w:color="000000"/>
            </w:tcBorders>
            <w:tcMar>
              <w:left w:w="0" w:type="dxa"/>
              <w:right w:w="0" w:type="dxa"/>
            </w:tcMar>
          </w:tcPr>
          <w:p w14:paraId="7BFE944E" w14:textId="2C94426B" w:rsidR="00EA216F" w:rsidRDefault="00EA216F" w:rsidP="00EA216F">
            <w:pPr>
              <w:pStyle w:val="biaogecenter"/>
              <w:wordWrap w:val="0"/>
            </w:pPr>
            <w:r w:rsidRPr="00986D62">
              <w:rPr>
                <w:rFonts w:hint="eastAsia"/>
              </w:rPr>
              <w:t>9.23%</w:t>
            </w:r>
          </w:p>
        </w:tc>
        <w:tc>
          <w:tcPr>
            <w:tcW w:w="0" w:type="auto"/>
            <w:tcBorders>
              <w:top w:val="single" w:sz="8" w:space="0" w:color="000000"/>
              <w:left w:val="single" w:sz="8" w:space="0" w:color="000000"/>
              <w:bottom w:val="single" w:sz="6" w:space="0" w:color="000000"/>
              <w:right w:val="single" w:sz="8" w:space="0" w:color="000000"/>
            </w:tcBorders>
            <w:tcMar>
              <w:left w:w="0" w:type="dxa"/>
              <w:right w:w="0" w:type="dxa"/>
            </w:tcMar>
          </w:tcPr>
          <w:p w14:paraId="708C7DD4" w14:textId="4EC4D5F7" w:rsidR="00EA216F" w:rsidRDefault="00EA216F" w:rsidP="00EA216F">
            <w:pPr>
              <w:pStyle w:val="biaogecenter"/>
              <w:wordWrap w:val="0"/>
            </w:pPr>
            <w:r w:rsidRPr="00986D62">
              <w:rPr>
                <w:rFonts w:hint="eastAsia"/>
              </w:rPr>
              <w:t>0.88%</w:t>
            </w:r>
          </w:p>
        </w:tc>
      </w:tr>
      <w:tr w:rsidR="00EA216F" w14:paraId="049BF007" w14:textId="77777777" w:rsidTr="00F94CAE">
        <w:trPr>
          <w:jc w:val="center"/>
        </w:trPr>
        <w:tc>
          <w:tcPr>
            <w:tcW w:w="1429" w:type="dxa"/>
            <w:tcBorders>
              <w:top w:val="single" w:sz="8" w:space="0" w:color="000000"/>
              <w:left w:val="single" w:sz="8" w:space="0" w:color="000000"/>
              <w:bottom w:val="single" w:sz="6" w:space="0" w:color="000000"/>
              <w:right w:val="single" w:sz="8" w:space="0" w:color="000000"/>
            </w:tcBorders>
          </w:tcPr>
          <w:p w14:paraId="753A199C" w14:textId="70514F6D" w:rsidR="00EA216F" w:rsidRDefault="00EA216F" w:rsidP="00EA216F">
            <w:pPr>
              <w:pStyle w:val="biaogeleft"/>
              <w:wordWrap w:val="0"/>
            </w:pPr>
            <w:r w:rsidRPr="00986D62">
              <w:rPr>
                <w:rFonts w:hint="eastAsia"/>
              </w:rPr>
              <w:t>过去一年</w:t>
            </w:r>
          </w:p>
        </w:tc>
        <w:tc>
          <w:tcPr>
            <w:tcW w:w="1065" w:type="dxa"/>
            <w:tcBorders>
              <w:top w:val="single" w:sz="8" w:space="0" w:color="000000"/>
              <w:left w:val="single" w:sz="8" w:space="0" w:color="000000"/>
              <w:bottom w:val="single" w:sz="6" w:space="0" w:color="000000"/>
              <w:right w:val="single" w:sz="8" w:space="0" w:color="000000"/>
            </w:tcBorders>
            <w:tcMar>
              <w:left w:w="0" w:type="dxa"/>
              <w:right w:w="0" w:type="dxa"/>
            </w:tcMar>
          </w:tcPr>
          <w:p w14:paraId="50F57533" w14:textId="7A60FB9C" w:rsidR="00EA216F" w:rsidRDefault="00EA216F" w:rsidP="00EA216F">
            <w:pPr>
              <w:pStyle w:val="biaogecenter"/>
              <w:wordWrap w:val="0"/>
            </w:pPr>
            <w:r w:rsidRPr="00986D62">
              <w:rPr>
                <w:rFonts w:hint="eastAsia"/>
              </w:rPr>
              <w:t>21.13%</w:t>
            </w:r>
          </w:p>
        </w:tc>
        <w:tc>
          <w:tcPr>
            <w:tcW w:w="1174" w:type="dxa"/>
            <w:tcBorders>
              <w:top w:val="single" w:sz="8" w:space="0" w:color="000000"/>
              <w:left w:val="single" w:sz="8" w:space="0" w:color="000000"/>
              <w:bottom w:val="single" w:sz="6" w:space="0" w:color="000000"/>
              <w:right w:val="single" w:sz="8" w:space="0" w:color="000000"/>
            </w:tcBorders>
            <w:tcMar>
              <w:left w:w="0" w:type="dxa"/>
              <w:right w:w="0" w:type="dxa"/>
            </w:tcMar>
          </w:tcPr>
          <w:p w14:paraId="739E055C" w14:textId="75A188FA" w:rsidR="00EA216F" w:rsidRDefault="00EA216F" w:rsidP="00EA216F">
            <w:pPr>
              <w:pStyle w:val="biaogecenter"/>
              <w:wordWrap w:val="0"/>
            </w:pPr>
            <w:r w:rsidRPr="00986D62">
              <w:rPr>
                <w:rFonts w:hint="eastAsia"/>
              </w:rPr>
              <w:t>1.36%</w:t>
            </w:r>
          </w:p>
        </w:tc>
        <w:tc>
          <w:tcPr>
            <w:tcW w:w="1565" w:type="dxa"/>
            <w:tcBorders>
              <w:top w:val="single" w:sz="8" w:space="0" w:color="000000"/>
              <w:left w:val="single" w:sz="8" w:space="0" w:color="000000"/>
              <w:bottom w:val="single" w:sz="6" w:space="0" w:color="000000"/>
              <w:right w:val="single" w:sz="8" w:space="0" w:color="000000"/>
            </w:tcBorders>
            <w:tcMar>
              <w:left w:w="0" w:type="dxa"/>
              <w:right w:w="0" w:type="dxa"/>
            </w:tcMar>
          </w:tcPr>
          <w:p w14:paraId="1040807A" w14:textId="5110E205" w:rsidR="00EA216F" w:rsidRDefault="00EA216F" w:rsidP="00EA216F">
            <w:pPr>
              <w:pStyle w:val="biaogecenter"/>
              <w:wordWrap w:val="0"/>
            </w:pPr>
            <w:r w:rsidRPr="00986D62">
              <w:rPr>
                <w:rFonts w:hint="eastAsia"/>
              </w:rPr>
              <w:t>11.71%</w:t>
            </w:r>
          </w:p>
        </w:tc>
        <w:tc>
          <w:tcPr>
            <w:tcW w:w="1278" w:type="dxa"/>
            <w:tcBorders>
              <w:top w:val="single" w:sz="8" w:space="0" w:color="000000"/>
              <w:left w:val="single" w:sz="8" w:space="0" w:color="000000"/>
              <w:bottom w:val="single" w:sz="6" w:space="0" w:color="000000"/>
              <w:right w:val="single" w:sz="8" w:space="0" w:color="000000"/>
            </w:tcBorders>
            <w:tcMar>
              <w:left w:w="0" w:type="dxa"/>
              <w:right w:w="0" w:type="dxa"/>
            </w:tcMar>
          </w:tcPr>
          <w:p w14:paraId="158D8B16" w14:textId="0FBBB5C2" w:rsidR="00EA216F" w:rsidRDefault="00EA216F" w:rsidP="00EA216F">
            <w:pPr>
              <w:pStyle w:val="biaogecenter"/>
              <w:wordWrap w:val="0"/>
            </w:pPr>
            <w:r w:rsidRPr="00986D62">
              <w:rPr>
                <w:rFonts w:hint="eastAsia"/>
              </w:rPr>
              <w:t>0.59%</w:t>
            </w:r>
          </w:p>
        </w:tc>
        <w:tc>
          <w:tcPr>
            <w:tcW w:w="1374" w:type="dxa"/>
            <w:tcBorders>
              <w:top w:val="single" w:sz="8" w:space="0" w:color="000000"/>
              <w:left w:val="single" w:sz="8" w:space="0" w:color="000000"/>
              <w:bottom w:val="single" w:sz="6" w:space="0" w:color="000000"/>
              <w:right w:val="single" w:sz="8" w:space="0" w:color="000000"/>
            </w:tcBorders>
            <w:tcMar>
              <w:left w:w="0" w:type="dxa"/>
              <w:right w:w="0" w:type="dxa"/>
            </w:tcMar>
          </w:tcPr>
          <w:p w14:paraId="721D7865" w14:textId="2F388215" w:rsidR="00EA216F" w:rsidRDefault="00EA216F" w:rsidP="00EA216F">
            <w:pPr>
              <w:pStyle w:val="biaogecenter"/>
              <w:wordWrap w:val="0"/>
            </w:pPr>
            <w:r w:rsidRPr="00986D62">
              <w:rPr>
                <w:rFonts w:hint="eastAsia"/>
              </w:rPr>
              <w:t>9.42%</w:t>
            </w:r>
          </w:p>
        </w:tc>
        <w:tc>
          <w:tcPr>
            <w:tcW w:w="0" w:type="auto"/>
            <w:tcBorders>
              <w:top w:val="single" w:sz="8" w:space="0" w:color="000000"/>
              <w:left w:val="single" w:sz="8" w:space="0" w:color="000000"/>
              <w:bottom w:val="single" w:sz="6" w:space="0" w:color="000000"/>
              <w:right w:val="single" w:sz="8" w:space="0" w:color="000000"/>
            </w:tcBorders>
            <w:tcMar>
              <w:left w:w="0" w:type="dxa"/>
              <w:right w:w="0" w:type="dxa"/>
            </w:tcMar>
          </w:tcPr>
          <w:p w14:paraId="6FA0BDBD" w14:textId="25E338B8" w:rsidR="00EA216F" w:rsidRDefault="00EA216F" w:rsidP="00EA216F">
            <w:pPr>
              <w:pStyle w:val="biaogecenter"/>
              <w:wordWrap w:val="0"/>
            </w:pPr>
            <w:r w:rsidRPr="00986D62">
              <w:rPr>
                <w:rFonts w:hint="eastAsia"/>
              </w:rPr>
              <w:t>0.77%</w:t>
            </w:r>
          </w:p>
        </w:tc>
      </w:tr>
      <w:tr w:rsidR="00EA216F" w14:paraId="05357B48" w14:textId="77777777" w:rsidTr="00F94CAE">
        <w:trPr>
          <w:jc w:val="center"/>
        </w:trPr>
        <w:tc>
          <w:tcPr>
            <w:tcW w:w="1429" w:type="dxa"/>
            <w:tcBorders>
              <w:top w:val="single" w:sz="8" w:space="0" w:color="000000"/>
              <w:left w:val="single" w:sz="8" w:space="0" w:color="000000"/>
              <w:bottom w:val="single" w:sz="6" w:space="0" w:color="000000"/>
              <w:right w:val="single" w:sz="8" w:space="0" w:color="000000"/>
            </w:tcBorders>
          </w:tcPr>
          <w:p w14:paraId="6D53F377" w14:textId="1903C390" w:rsidR="00EA216F" w:rsidRDefault="00EA216F" w:rsidP="00EA216F">
            <w:pPr>
              <w:pStyle w:val="biaogeleft"/>
              <w:wordWrap w:val="0"/>
            </w:pPr>
            <w:r w:rsidRPr="00986D62">
              <w:rPr>
                <w:rFonts w:hint="eastAsia"/>
              </w:rPr>
              <w:t>过去三年</w:t>
            </w:r>
          </w:p>
        </w:tc>
        <w:tc>
          <w:tcPr>
            <w:tcW w:w="1065" w:type="dxa"/>
            <w:tcBorders>
              <w:top w:val="single" w:sz="8" w:space="0" w:color="000000"/>
              <w:left w:val="single" w:sz="8" w:space="0" w:color="000000"/>
              <w:bottom w:val="single" w:sz="6" w:space="0" w:color="000000"/>
              <w:right w:val="single" w:sz="8" w:space="0" w:color="000000"/>
            </w:tcBorders>
            <w:tcMar>
              <w:left w:w="0" w:type="dxa"/>
              <w:right w:w="0" w:type="dxa"/>
            </w:tcMar>
          </w:tcPr>
          <w:p w14:paraId="48AFFB8A" w14:textId="40722130" w:rsidR="00EA216F" w:rsidRDefault="00EA216F" w:rsidP="00EA216F">
            <w:pPr>
              <w:pStyle w:val="biaogecenter"/>
              <w:wordWrap w:val="0"/>
            </w:pPr>
            <w:r w:rsidRPr="00986D62">
              <w:rPr>
                <w:rFonts w:hint="eastAsia"/>
              </w:rPr>
              <w:t>11.61%</w:t>
            </w:r>
          </w:p>
        </w:tc>
        <w:tc>
          <w:tcPr>
            <w:tcW w:w="1174" w:type="dxa"/>
            <w:tcBorders>
              <w:top w:val="single" w:sz="8" w:space="0" w:color="000000"/>
              <w:left w:val="single" w:sz="8" w:space="0" w:color="000000"/>
              <w:bottom w:val="single" w:sz="6" w:space="0" w:color="000000"/>
              <w:right w:val="single" w:sz="8" w:space="0" w:color="000000"/>
            </w:tcBorders>
            <w:tcMar>
              <w:left w:w="0" w:type="dxa"/>
              <w:right w:w="0" w:type="dxa"/>
            </w:tcMar>
          </w:tcPr>
          <w:p w14:paraId="2251B8C6" w14:textId="756FF8EA" w:rsidR="00EA216F" w:rsidRDefault="00EA216F" w:rsidP="00EA216F">
            <w:pPr>
              <w:pStyle w:val="biaogecenter"/>
              <w:wordWrap w:val="0"/>
            </w:pPr>
            <w:r w:rsidRPr="00986D62">
              <w:rPr>
                <w:rFonts w:hint="eastAsia"/>
              </w:rPr>
              <w:t>1.26%</w:t>
            </w:r>
          </w:p>
        </w:tc>
        <w:tc>
          <w:tcPr>
            <w:tcW w:w="1565" w:type="dxa"/>
            <w:tcBorders>
              <w:top w:val="single" w:sz="8" w:space="0" w:color="000000"/>
              <w:left w:val="single" w:sz="8" w:space="0" w:color="000000"/>
              <w:bottom w:val="single" w:sz="6" w:space="0" w:color="000000"/>
              <w:right w:val="single" w:sz="8" w:space="0" w:color="000000"/>
            </w:tcBorders>
            <w:tcMar>
              <w:left w:w="0" w:type="dxa"/>
              <w:right w:w="0" w:type="dxa"/>
            </w:tcMar>
          </w:tcPr>
          <w:p w14:paraId="342A3D07" w14:textId="63AD17FA" w:rsidR="00EA216F" w:rsidRDefault="00EA216F" w:rsidP="00EA216F">
            <w:pPr>
              <w:pStyle w:val="biaogecenter"/>
              <w:wordWrap w:val="0"/>
            </w:pPr>
            <w:r w:rsidRPr="00986D62">
              <w:rPr>
                <w:rFonts w:hint="eastAsia"/>
              </w:rPr>
              <w:t>19.25%</w:t>
            </w:r>
          </w:p>
        </w:tc>
        <w:tc>
          <w:tcPr>
            <w:tcW w:w="1278" w:type="dxa"/>
            <w:tcBorders>
              <w:top w:val="single" w:sz="8" w:space="0" w:color="000000"/>
              <w:left w:val="single" w:sz="8" w:space="0" w:color="000000"/>
              <w:bottom w:val="single" w:sz="6" w:space="0" w:color="000000"/>
              <w:right w:val="single" w:sz="8" w:space="0" w:color="000000"/>
            </w:tcBorders>
            <w:tcMar>
              <w:left w:w="0" w:type="dxa"/>
              <w:right w:w="0" w:type="dxa"/>
            </w:tcMar>
          </w:tcPr>
          <w:p w14:paraId="5373F8C1" w14:textId="027DAC1D" w:rsidR="00EA216F" w:rsidRDefault="00EA216F" w:rsidP="00EA216F">
            <w:pPr>
              <w:pStyle w:val="biaogecenter"/>
              <w:wordWrap w:val="0"/>
            </w:pPr>
            <w:r w:rsidRPr="00986D62">
              <w:rPr>
                <w:rFonts w:hint="eastAsia"/>
              </w:rPr>
              <w:t>0.64%</w:t>
            </w:r>
          </w:p>
        </w:tc>
        <w:tc>
          <w:tcPr>
            <w:tcW w:w="1374" w:type="dxa"/>
            <w:tcBorders>
              <w:top w:val="single" w:sz="8" w:space="0" w:color="000000"/>
              <w:left w:val="single" w:sz="8" w:space="0" w:color="000000"/>
              <w:bottom w:val="single" w:sz="6" w:space="0" w:color="000000"/>
              <w:right w:val="single" w:sz="8" w:space="0" w:color="000000"/>
            </w:tcBorders>
            <w:tcMar>
              <w:left w:w="0" w:type="dxa"/>
              <w:right w:w="0" w:type="dxa"/>
            </w:tcMar>
          </w:tcPr>
          <w:p w14:paraId="231ADB55" w14:textId="2A40834B" w:rsidR="00EA216F" w:rsidRDefault="00EA216F" w:rsidP="00EA216F">
            <w:pPr>
              <w:pStyle w:val="biaogecenter"/>
              <w:wordWrap w:val="0"/>
            </w:pPr>
            <w:r w:rsidRPr="00986D62">
              <w:rPr>
                <w:rFonts w:hint="eastAsia"/>
              </w:rPr>
              <w:t>-7.64%</w:t>
            </w:r>
          </w:p>
        </w:tc>
        <w:tc>
          <w:tcPr>
            <w:tcW w:w="0" w:type="auto"/>
            <w:tcBorders>
              <w:top w:val="single" w:sz="8" w:space="0" w:color="000000"/>
              <w:left w:val="single" w:sz="8" w:space="0" w:color="000000"/>
              <w:bottom w:val="single" w:sz="6" w:space="0" w:color="000000"/>
              <w:right w:val="single" w:sz="8" w:space="0" w:color="000000"/>
            </w:tcBorders>
            <w:tcMar>
              <w:left w:w="0" w:type="dxa"/>
              <w:right w:w="0" w:type="dxa"/>
            </w:tcMar>
          </w:tcPr>
          <w:p w14:paraId="585D0FD6" w14:textId="07F994EA" w:rsidR="00EA216F" w:rsidRDefault="00EA216F" w:rsidP="00EA216F">
            <w:pPr>
              <w:pStyle w:val="biaogecenter"/>
              <w:wordWrap w:val="0"/>
            </w:pPr>
            <w:r w:rsidRPr="00986D62">
              <w:rPr>
                <w:rFonts w:hint="eastAsia"/>
              </w:rPr>
              <w:t>0.62%</w:t>
            </w:r>
          </w:p>
        </w:tc>
      </w:tr>
      <w:tr w:rsidR="00EA216F" w14:paraId="12111E45" w14:textId="77777777" w:rsidTr="00FC0908">
        <w:trPr>
          <w:jc w:val="center"/>
        </w:trPr>
        <w:tc>
          <w:tcPr>
            <w:tcW w:w="1429" w:type="dxa"/>
            <w:tcBorders>
              <w:top w:val="single" w:sz="8" w:space="0" w:color="000000"/>
              <w:left w:val="single" w:sz="8" w:space="0" w:color="000000"/>
              <w:bottom w:val="single" w:sz="6" w:space="0" w:color="000000"/>
              <w:right w:val="single" w:sz="8" w:space="0" w:color="000000"/>
            </w:tcBorders>
          </w:tcPr>
          <w:p w14:paraId="2981C4DC" w14:textId="0CD29620" w:rsidR="00EA216F" w:rsidRDefault="00EA216F" w:rsidP="00EA216F">
            <w:pPr>
              <w:pStyle w:val="biaogeleft"/>
              <w:wordWrap w:val="0"/>
            </w:pPr>
            <w:r w:rsidRPr="00986D62">
              <w:rPr>
                <w:rFonts w:hint="eastAsia"/>
              </w:rPr>
              <w:t>过去五年</w:t>
            </w:r>
          </w:p>
        </w:tc>
        <w:tc>
          <w:tcPr>
            <w:tcW w:w="1065" w:type="dxa"/>
            <w:tcBorders>
              <w:top w:val="single" w:sz="8" w:space="0" w:color="000000"/>
              <w:left w:val="single" w:sz="8" w:space="0" w:color="000000"/>
              <w:bottom w:val="single" w:sz="6" w:space="0" w:color="000000"/>
              <w:right w:val="single" w:sz="8" w:space="0" w:color="000000"/>
            </w:tcBorders>
            <w:tcMar>
              <w:left w:w="0" w:type="dxa"/>
              <w:right w:w="0" w:type="dxa"/>
            </w:tcMar>
          </w:tcPr>
          <w:p w14:paraId="726A0515" w14:textId="05D5F72F" w:rsidR="00EA216F" w:rsidRPr="00C151AF" w:rsidRDefault="00EA216F" w:rsidP="00EA216F">
            <w:pPr>
              <w:pStyle w:val="biaogecenter"/>
              <w:wordWrap w:val="0"/>
            </w:pPr>
            <w:r w:rsidRPr="00986D62">
              <w:rPr>
                <w:rFonts w:hint="eastAsia"/>
              </w:rPr>
              <w:t>-14.50%</w:t>
            </w:r>
          </w:p>
        </w:tc>
        <w:tc>
          <w:tcPr>
            <w:tcW w:w="1174" w:type="dxa"/>
            <w:tcBorders>
              <w:top w:val="single" w:sz="8" w:space="0" w:color="000000"/>
              <w:left w:val="single" w:sz="8" w:space="0" w:color="000000"/>
              <w:bottom w:val="single" w:sz="6" w:space="0" w:color="000000"/>
              <w:right w:val="single" w:sz="8" w:space="0" w:color="000000"/>
            </w:tcBorders>
            <w:tcMar>
              <w:left w:w="0" w:type="dxa"/>
              <w:right w:w="0" w:type="dxa"/>
            </w:tcMar>
          </w:tcPr>
          <w:p w14:paraId="6851FCAC" w14:textId="7C788A55" w:rsidR="00EA216F" w:rsidRPr="00C151AF" w:rsidRDefault="00EA216F" w:rsidP="00EA216F">
            <w:pPr>
              <w:pStyle w:val="biaogecenter"/>
              <w:wordWrap w:val="0"/>
            </w:pPr>
            <w:r w:rsidRPr="00986D62">
              <w:rPr>
                <w:rFonts w:hint="eastAsia"/>
              </w:rPr>
              <w:t>1.28%</w:t>
            </w:r>
          </w:p>
        </w:tc>
        <w:tc>
          <w:tcPr>
            <w:tcW w:w="1565" w:type="dxa"/>
            <w:tcBorders>
              <w:top w:val="single" w:sz="8" w:space="0" w:color="000000"/>
              <w:left w:val="single" w:sz="8" w:space="0" w:color="000000"/>
              <w:bottom w:val="single" w:sz="6" w:space="0" w:color="000000"/>
              <w:right w:val="single" w:sz="8" w:space="0" w:color="000000"/>
            </w:tcBorders>
            <w:tcMar>
              <w:left w:w="0" w:type="dxa"/>
              <w:right w:w="0" w:type="dxa"/>
            </w:tcMar>
          </w:tcPr>
          <w:p w14:paraId="2C57510A" w14:textId="375FCAED" w:rsidR="00EA216F" w:rsidRPr="00C151AF" w:rsidRDefault="00EA216F" w:rsidP="00EA216F">
            <w:pPr>
              <w:pStyle w:val="biaogecenter"/>
              <w:wordWrap w:val="0"/>
            </w:pPr>
            <w:r w:rsidRPr="00986D62">
              <w:rPr>
                <w:rFonts w:hint="eastAsia"/>
              </w:rPr>
              <w:t>1.13%</w:t>
            </w:r>
          </w:p>
        </w:tc>
        <w:tc>
          <w:tcPr>
            <w:tcW w:w="1278" w:type="dxa"/>
            <w:tcBorders>
              <w:top w:val="single" w:sz="8" w:space="0" w:color="000000"/>
              <w:left w:val="single" w:sz="8" w:space="0" w:color="000000"/>
              <w:bottom w:val="single" w:sz="6" w:space="0" w:color="000000"/>
              <w:right w:val="single" w:sz="8" w:space="0" w:color="000000"/>
            </w:tcBorders>
            <w:tcMar>
              <w:left w:w="0" w:type="dxa"/>
              <w:right w:w="0" w:type="dxa"/>
            </w:tcMar>
          </w:tcPr>
          <w:p w14:paraId="2CCCBE75" w14:textId="70F8BD3D" w:rsidR="00EA216F" w:rsidRPr="00C151AF" w:rsidRDefault="00EA216F" w:rsidP="00EA216F">
            <w:pPr>
              <w:pStyle w:val="biaogecenter"/>
              <w:wordWrap w:val="0"/>
            </w:pPr>
            <w:r w:rsidRPr="00986D62">
              <w:rPr>
                <w:rFonts w:hint="eastAsia"/>
              </w:rPr>
              <w:t>0.66%</w:t>
            </w:r>
          </w:p>
        </w:tc>
        <w:tc>
          <w:tcPr>
            <w:tcW w:w="1374" w:type="dxa"/>
            <w:tcBorders>
              <w:top w:val="single" w:sz="8" w:space="0" w:color="000000"/>
              <w:left w:val="single" w:sz="8" w:space="0" w:color="000000"/>
              <w:bottom w:val="single" w:sz="6" w:space="0" w:color="000000"/>
              <w:right w:val="single" w:sz="8" w:space="0" w:color="000000"/>
            </w:tcBorders>
            <w:tcMar>
              <w:left w:w="0" w:type="dxa"/>
              <w:right w:w="0" w:type="dxa"/>
            </w:tcMar>
          </w:tcPr>
          <w:p w14:paraId="45B34F77" w14:textId="1180B085" w:rsidR="00EA216F" w:rsidRPr="00C151AF" w:rsidRDefault="00EA216F" w:rsidP="00EA216F">
            <w:pPr>
              <w:pStyle w:val="biaogecenter"/>
              <w:wordWrap w:val="0"/>
            </w:pPr>
            <w:r w:rsidRPr="00986D62">
              <w:rPr>
                <w:rFonts w:hint="eastAsia"/>
              </w:rPr>
              <w:t>-15.63%</w:t>
            </w:r>
          </w:p>
        </w:tc>
        <w:tc>
          <w:tcPr>
            <w:tcW w:w="0" w:type="auto"/>
            <w:tcBorders>
              <w:top w:val="single" w:sz="8" w:space="0" w:color="000000"/>
              <w:left w:val="single" w:sz="8" w:space="0" w:color="000000"/>
              <w:bottom w:val="single" w:sz="6" w:space="0" w:color="000000"/>
              <w:right w:val="single" w:sz="8" w:space="0" w:color="000000"/>
            </w:tcBorders>
            <w:tcMar>
              <w:left w:w="0" w:type="dxa"/>
              <w:right w:w="0" w:type="dxa"/>
            </w:tcMar>
          </w:tcPr>
          <w:p w14:paraId="0AFC7495" w14:textId="11008C67" w:rsidR="00EA216F" w:rsidRPr="00C151AF" w:rsidRDefault="00EA216F" w:rsidP="00EA216F">
            <w:pPr>
              <w:pStyle w:val="biaogecenter"/>
              <w:wordWrap w:val="0"/>
            </w:pPr>
            <w:r w:rsidRPr="00986D62">
              <w:rPr>
                <w:rFonts w:hint="eastAsia"/>
              </w:rPr>
              <w:t>0.62%</w:t>
            </w:r>
          </w:p>
        </w:tc>
      </w:tr>
      <w:tr w:rsidR="00EA216F" w14:paraId="53C76122" w14:textId="77777777" w:rsidTr="00F94CAE">
        <w:trPr>
          <w:jc w:val="center"/>
        </w:trPr>
        <w:tc>
          <w:tcPr>
            <w:tcW w:w="1429" w:type="dxa"/>
            <w:tcBorders>
              <w:top w:val="single" w:sz="8" w:space="0" w:color="000000"/>
              <w:left w:val="single" w:sz="8" w:space="0" w:color="000000"/>
              <w:bottom w:val="single" w:sz="6" w:space="0" w:color="000000"/>
              <w:right w:val="single" w:sz="8" w:space="0" w:color="000000"/>
            </w:tcBorders>
          </w:tcPr>
          <w:p w14:paraId="064794D6" w14:textId="750A4FE1" w:rsidR="00EA216F" w:rsidRDefault="00EA216F" w:rsidP="00EA216F">
            <w:pPr>
              <w:pStyle w:val="biaogeleft"/>
              <w:wordWrap w:val="0"/>
            </w:pPr>
            <w:r w:rsidRPr="00986D62">
              <w:rPr>
                <w:rFonts w:hint="eastAsia"/>
              </w:rPr>
              <w:t>过去七年</w:t>
            </w:r>
          </w:p>
        </w:tc>
        <w:tc>
          <w:tcPr>
            <w:tcW w:w="1065" w:type="dxa"/>
            <w:tcBorders>
              <w:top w:val="single" w:sz="8" w:space="0" w:color="000000"/>
              <w:left w:val="single" w:sz="8" w:space="0" w:color="000000"/>
              <w:bottom w:val="single" w:sz="6" w:space="0" w:color="000000"/>
              <w:right w:val="single" w:sz="8" w:space="0" w:color="000000"/>
            </w:tcBorders>
            <w:tcMar>
              <w:left w:w="0" w:type="dxa"/>
              <w:right w:w="0" w:type="dxa"/>
            </w:tcMar>
          </w:tcPr>
          <w:p w14:paraId="03258B3F" w14:textId="27A75AC2" w:rsidR="00EA216F" w:rsidRPr="00F129EB" w:rsidRDefault="00EA216F" w:rsidP="00EA216F">
            <w:pPr>
              <w:pStyle w:val="biaogecenter"/>
              <w:wordWrap w:val="0"/>
            </w:pPr>
            <w:r w:rsidRPr="00986D62">
              <w:rPr>
                <w:rFonts w:hint="eastAsia"/>
              </w:rPr>
              <w:t>78.42%</w:t>
            </w:r>
          </w:p>
        </w:tc>
        <w:tc>
          <w:tcPr>
            <w:tcW w:w="1174" w:type="dxa"/>
            <w:tcBorders>
              <w:top w:val="single" w:sz="8" w:space="0" w:color="000000"/>
              <w:left w:val="single" w:sz="8" w:space="0" w:color="000000"/>
              <w:bottom w:val="single" w:sz="6" w:space="0" w:color="000000"/>
              <w:right w:val="single" w:sz="8" w:space="0" w:color="000000"/>
            </w:tcBorders>
            <w:tcMar>
              <w:left w:w="0" w:type="dxa"/>
              <w:right w:w="0" w:type="dxa"/>
            </w:tcMar>
          </w:tcPr>
          <w:p w14:paraId="525B9786" w14:textId="5A518D3B" w:rsidR="00EA216F" w:rsidRPr="00F129EB" w:rsidRDefault="00EA216F" w:rsidP="00EA216F">
            <w:pPr>
              <w:pStyle w:val="biaogecenter"/>
              <w:wordWrap w:val="0"/>
            </w:pPr>
            <w:r w:rsidRPr="00986D62">
              <w:rPr>
                <w:rFonts w:hint="eastAsia"/>
              </w:rPr>
              <w:t>1.31%</w:t>
            </w:r>
          </w:p>
        </w:tc>
        <w:tc>
          <w:tcPr>
            <w:tcW w:w="1565" w:type="dxa"/>
            <w:tcBorders>
              <w:top w:val="single" w:sz="8" w:space="0" w:color="000000"/>
              <w:left w:val="single" w:sz="8" w:space="0" w:color="000000"/>
              <w:bottom w:val="single" w:sz="6" w:space="0" w:color="000000"/>
              <w:right w:val="single" w:sz="8" w:space="0" w:color="000000"/>
            </w:tcBorders>
            <w:tcMar>
              <w:left w:w="0" w:type="dxa"/>
              <w:right w:w="0" w:type="dxa"/>
            </w:tcMar>
          </w:tcPr>
          <w:p w14:paraId="1ED0CCE5" w14:textId="05A3F896" w:rsidR="00EA216F" w:rsidRPr="00F129EB" w:rsidRDefault="00EA216F" w:rsidP="00EA216F">
            <w:pPr>
              <w:pStyle w:val="biaogecenter"/>
              <w:wordWrap w:val="0"/>
            </w:pPr>
            <w:r w:rsidRPr="00986D62">
              <w:rPr>
                <w:rFonts w:hint="eastAsia"/>
              </w:rPr>
              <w:t>21.95%</w:t>
            </w:r>
          </w:p>
        </w:tc>
        <w:tc>
          <w:tcPr>
            <w:tcW w:w="1278" w:type="dxa"/>
            <w:tcBorders>
              <w:top w:val="single" w:sz="8" w:space="0" w:color="000000"/>
              <w:left w:val="single" w:sz="8" w:space="0" w:color="000000"/>
              <w:bottom w:val="single" w:sz="6" w:space="0" w:color="000000"/>
              <w:right w:val="single" w:sz="8" w:space="0" w:color="000000"/>
            </w:tcBorders>
            <w:tcMar>
              <w:left w:w="0" w:type="dxa"/>
              <w:right w:w="0" w:type="dxa"/>
            </w:tcMar>
          </w:tcPr>
          <w:p w14:paraId="4B51362C" w14:textId="7E845866" w:rsidR="00EA216F" w:rsidRPr="00F129EB" w:rsidRDefault="00EA216F" w:rsidP="00EA216F">
            <w:pPr>
              <w:pStyle w:val="biaogecenter"/>
              <w:wordWrap w:val="0"/>
            </w:pPr>
            <w:r w:rsidRPr="00986D62">
              <w:rPr>
                <w:rFonts w:hint="eastAsia"/>
              </w:rPr>
              <w:t>0.68%</w:t>
            </w:r>
          </w:p>
        </w:tc>
        <w:tc>
          <w:tcPr>
            <w:tcW w:w="1374" w:type="dxa"/>
            <w:tcBorders>
              <w:top w:val="single" w:sz="8" w:space="0" w:color="000000"/>
              <w:left w:val="single" w:sz="8" w:space="0" w:color="000000"/>
              <w:bottom w:val="single" w:sz="6" w:space="0" w:color="000000"/>
              <w:right w:val="single" w:sz="8" w:space="0" w:color="000000"/>
            </w:tcBorders>
            <w:tcMar>
              <w:left w:w="0" w:type="dxa"/>
              <w:right w:w="0" w:type="dxa"/>
            </w:tcMar>
          </w:tcPr>
          <w:p w14:paraId="05980CAE" w14:textId="36402CF4" w:rsidR="00EA216F" w:rsidRPr="00F129EB" w:rsidRDefault="00EA216F" w:rsidP="00EA216F">
            <w:pPr>
              <w:pStyle w:val="biaogecenter"/>
              <w:wordWrap w:val="0"/>
            </w:pPr>
            <w:r w:rsidRPr="00986D62">
              <w:rPr>
                <w:rFonts w:hint="eastAsia"/>
              </w:rPr>
              <w:t>56.47%</w:t>
            </w:r>
          </w:p>
        </w:tc>
        <w:tc>
          <w:tcPr>
            <w:tcW w:w="0" w:type="auto"/>
            <w:tcBorders>
              <w:top w:val="single" w:sz="8" w:space="0" w:color="000000"/>
              <w:left w:val="single" w:sz="8" w:space="0" w:color="000000"/>
              <w:bottom w:val="single" w:sz="6" w:space="0" w:color="000000"/>
              <w:right w:val="single" w:sz="8" w:space="0" w:color="000000"/>
            </w:tcBorders>
            <w:tcMar>
              <w:left w:w="0" w:type="dxa"/>
              <w:right w:w="0" w:type="dxa"/>
            </w:tcMar>
          </w:tcPr>
          <w:p w14:paraId="352B28C2" w14:textId="570955B2" w:rsidR="00EA216F" w:rsidRPr="00F129EB" w:rsidRDefault="00EA216F" w:rsidP="00EA216F">
            <w:pPr>
              <w:pStyle w:val="biaogecenter"/>
              <w:wordWrap w:val="0"/>
            </w:pPr>
            <w:r w:rsidRPr="00986D62">
              <w:rPr>
                <w:rFonts w:hint="eastAsia"/>
              </w:rPr>
              <w:t>0.63%</w:t>
            </w:r>
          </w:p>
        </w:tc>
      </w:tr>
      <w:tr w:rsidR="00EA216F" w14:paraId="5AA2C122" w14:textId="77777777" w:rsidTr="00F94CAE">
        <w:trPr>
          <w:jc w:val="center"/>
        </w:trPr>
        <w:tc>
          <w:tcPr>
            <w:tcW w:w="1429" w:type="dxa"/>
            <w:tcBorders>
              <w:top w:val="single" w:sz="8" w:space="0" w:color="000000"/>
              <w:left w:val="single" w:sz="8" w:space="0" w:color="000000"/>
              <w:bottom w:val="single" w:sz="6" w:space="0" w:color="000000"/>
              <w:right w:val="single" w:sz="8" w:space="0" w:color="000000"/>
            </w:tcBorders>
          </w:tcPr>
          <w:p w14:paraId="6FC73A44" w14:textId="5D16F3BA" w:rsidR="00EA216F" w:rsidRDefault="00EA216F" w:rsidP="00EA216F">
            <w:pPr>
              <w:pStyle w:val="biaogeleft"/>
              <w:wordWrap w:val="0"/>
            </w:pPr>
            <w:r w:rsidRPr="00986D62">
              <w:rPr>
                <w:rFonts w:hint="eastAsia"/>
              </w:rPr>
              <w:t>自基金合同生效起至今</w:t>
            </w:r>
          </w:p>
        </w:tc>
        <w:tc>
          <w:tcPr>
            <w:tcW w:w="1065" w:type="dxa"/>
            <w:tcBorders>
              <w:top w:val="single" w:sz="8" w:space="0" w:color="000000"/>
              <w:left w:val="single" w:sz="8" w:space="0" w:color="000000"/>
              <w:bottom w:val="single" w:sz="6" w:space="0" w:color="000000"/>
              <w:right w:val="single" w:sz="8" w:space="0" w:color="000000"/>
            </w:tcBorders>
            <w:tcMar>
              <w:left w:w="0" w:type="dxa"/>
              <w:right w:w="0" w:type="dxa"/>
            </w:tcMar>
          </w:tcPr>
          <w:p w14:paraId="49133CFC" w14:textId="54911C22" w:rsidR="00EA216F" w:rsidRDefault="00EA216F" w:rsidP="00EA216F">
            <w:pPr>
              <w:pStyle w:val="biaogecenter"/>
              <w:wordWrap w:val="0"/>
            </w:pPr>
            <w:r w:rsidRPr="00986D62">
              <w:rPr>
                <w:rFonts w:hint="eastAsia"/>
              </w:rPr>
              <w:t>78.42%</w:t>
            </w:r>
          </w:p>
        </w:tc>
        <w:tc>
          <w:tcPr>
            <w:tcW w:w="1174" w:type="dxa"/>
            <w:tcBorders>
              <w:top w:val="single" w:sz="8" w:space="0" w:color="000000"/>
              <w:left w:val="single" w:sz="8" w:space="0" w:color="000000"/>
              <w:bottom w:val="single" w:sz="6" w:space="0" w:color="000000"/>
              <w:right w:val="single" w:sz="8" w:space="0" w:color="000000"/>
            </w:tcBorders>
            <w:tcMar>
              <w:left w:w="0" w:type="dxa"/>
              <w:right w:w="0" w:type="dxa"/>
            </w:tcMar>
          </w:tcPr>
          <w:p w14:paraId="02177A2D" w14:textId="5DF11DF7" w:rsidR="00EA216F" w:rsidRDefault="00EA216F" w:rsidP="00EA216F">
            <w:pPr>
              <w:pStyle w:val="biaogecenter"/>
              <w:wordWrap w:val="0"/>
            </w:pPr>
            <w:r w:rsidRPr="00986D62">
              <w:rPr>
                <w:rFonts w:hint="eastAsia"/>
              </w:rPr>
              <w:t>1.31%</w:t>
            </w:r>
          </w:p>
        </w:tc>
        <w:tc>
          <w:tcPr>
            <w:tcW w:w="1565" w:type="dxa"/>
            <w:tcBorders>
              <w:top w:val="single" w:sz="8" w:space="0" w:color="000000"/>
              <w:left w:val="single" w:sz="8" w:space="0" w:color="000000"/>
              <w:bottom w:val="single" w:sz="6" w:space="0" w:color="000000"/>
              <w:right w:val="single" w:sz="8" w:space="0" w:color="000000"/>
            </w:tcBorders>
            <w:tcMar>
              <w:left w:w="0" w:type="dxa"/>
              <w:right w:w="0" w:type="dxa"/>
            </w:tcMar>
          </w:tcPr>
          <w:p w14:paraId="59B6AFAB" w14:textId="06176FDD" w:rsidR="00EA216F" w:rsidRDefault="00EA216F" w:rsidP="00EA216F">
            <w:pPr>
              <w:pStyle w:val="biaogecenter"/>
              <w:wordWrap w:val="0"/>
            </w:pPr>
            <w:r w:rsidRPr="00986D62">
              <w:rPr>
                <w:rFonts w:hint="eastAsia"/>
              </w:rPr>
              <w:t>22.60%</w:t>
            </w:r>
          </w:p>
        </w:tc>
        <w:tc>
          <w:tcPr>
            <w:tcW w:w="1278" w:type="dxa"/>
            <w:tcBorders>
              <w:top w:val="single" w:sz="8" w:space="0" w:color="000000"/>
              <w:left w:val="single" w:sz="8" w:space="0" w:color="000000"/>
              <w:bottom w:val="single" w:sz="6" w:space="0" w:color="000000"/>
              <w:right w:val="single" w:sz="8" w:space="0" w:color="000000"/>
            </w:tcBorders>
            <w:tcMar>
              <w:left w:w="0" w:type="dxa"/>
              <w:right w:w="0" w:type="dxa"/>
            </w:tcMar>
          </w:tcPr>
          <w:p w14:paraId="507E0A1D" w14:textId="4C2B30AD" w:rsidR="00EA216F" w:rsidRDefault="00EA216F" w:rsidP="00EA216F">
            <w:pPr>
              <w:pStyle w:val="biaogecenter"/>
              <w:wordWrap w:val="0"/>
            </w:pPr>
            <w:r w:rsidRPr="00986D62">
              <w:rPr>
                <w:rFonts w:hint="eastAsia"/>
              </w:rPr>
              <w:t>0.68%</w:t>
            </w:r>
          </w:p>
        </w:tc>
        <w:tc>
          <w:tcPr>
            <w:tcW w:w="1374" w:type="dxa"/>
            <w:tcBorders>
              <w:top w:val="single" w:sz="8" w:space="0" w:color="000000"/>
              <w:left w:val="single" w:sz="8" w:space="0" w:color="000000"/>
              <w:bottom w:val="single" w:sz="6" w:space="0" w:color="000000"/>
              <w:right w:val="single" w:sz="8" w:space="0" w:color="000000"/>
            </w:tcBorders>
            <w:tcMar>
              <w:left w:w="0" w:type="dxa"/>
              <w:right w:w="0" w:type="dxa"/>
            </w:tcMar>
          </w:tcPr>
          <w:p w14:paraId="0E56E6F6" w14:textId="2FF729F3" w:rsidR="00EA216F" w:rsidRDefault="00EA216F" w:rsidP="00EA216F">
            <w:pPr>
              <w:pStyle w:val="biaogecenter"/>
              <w:wordWrap w:val="0"/>
            </w:pPr>
            <w:r w:rsidRPr="00986D62">
              <w:rPr>
                <w:rFonts w:hint="eastAsia"/>
              </w:rPr>
              <w:t>55.82%</w:t>
            </w:r>
          </w:p>
        </w:tc>
        <w:tc>
          <w:tcPr>
            <w:tcW w:w="0" w:type="auto"/>
            <w:tcBorders>
              <w:top w:val="single" w:sz="8" w:space="0" w:color="000000"/>
              <w:left w:val="single" w:sz="8" w:space="0" w:color="000000"/>
              <w:bottom w:val="single" w:sz="6" w:space="0" w:color="000000"/>
              <w:right w:val="single" w:sz="8" w:space="0" w:color="000000"/>
            </w:tcBorders>
            <w:tcMar>
              <w:left w:w="0" w:type="dxa"/>
              <w:right w:w="0" w:type="dxa"/>
            </w:tcMar>
          </w:tcPr>
          <w:p w14:paraId="36E7187A" w14:textId="38112598" w:rsidR="00EA216F" w:rsidRDefault="00EA216F" w:rsidP="00EA216F">
            <w:pPr>
              <w:pStyle w:val="biaogecenter"/>
              <w:wordWrap w:val="0"/>
            </w:pPr>
            <w:r w:rsidRPr="00986D62">
              <w:rPr>
                <w:rFonts w:hint="eastAsia"/>
              </w:rPr>
              <w:t>0.63%</w:t>
            </w:r>
          </w:p>
        </w:tc>
      </w:tr>
    </w:tbl>
    <w:p w14:paraId="30D813C3" w14:textId="77777777" w:rsidR="008A6127" w:rsidRDefault="008A6127">
      <w:pPr>
        <w:pStyle w:val="biaogeleft"/>
        <w:ind w:left="0"/>
      </w:pPr>
    </w:p>
    <w:p w14:paraId="6C7AF495" w14:textId="77777777" w:rsidR="008A6127" w:rsidRDefault="00437D9F">
      <w:pPr>
        <w:pStyle w:val="biaogeleft"/>
        <w:ind w:left="0"/>
        <w:rPr>
          <w:rFonts w:hAnsi="Calibri"/>
          <w:color w:val="000000"/>
        </w:rPr>
      </w:pPr>
      <w:r>
        <w:rPr>
          <w:rFonts w:hAnsi="Calibri" w:hint="eastAsia"/>
          <w:color w:val="000000"/>
        </w:rPr>
        <w:t>朱雀产业</w:t>
      </w:r>
      <w:proofErr w:type="gramStart"/>
      <w:r>
        <w:rPr>
          <w:rFonts w:hAnsi="Calibri" w:hint="eastAsia"/>
          <w:color w:val="000000"/>
        </w:rPr>
        <w:t>臻</w:t>
      </w:r>
      <w:proofErr w:type="gramEnd"/>
      <w:r>
        <w:rPr>
          <w:rFonts w:hAnsi="Calibri" w:hint="eastAsia"/>
          <w:color w:val="000000"/>
        </w:rPr>
        <w:t>选C净值表现</w:t>
      </w:r>
    </w:p>
    <w:tbl>
      <w:tblPr>
        <w:tblW w:w="9120" w:type="dxa"/>
        <w:jc w:val="center"/>
        <w:tblLook w:val="04A0" w:firstRow="1" w:lastRow="0" w:firstColumn="1" w:lastColumn="0" w:noHBand="0" w:noVBand="1"/>
      </w:tblPr>
      <w:tblGrid>
        <w:gridCol w:w="1409"/>
        <w:gridCol w:w="1133"/>
        <w:gridCol w:w="1134"/>
        <w:gridCol w:w="1559"/>
        <w:gridCol w:w="1276"/>
        <w:gridCol w:w="1417"/>
        <w:gridCol w:w="1192"/>
      </w:tblGrid>
      <w:tr w:rsidR="00A46D6E" w14:paraId="470710E9" w14:textId="77777777" w:rsidTr="0070640F">
        <w:trPr>
          <w:jc w:val="center"/>
        </w:trPr>
        <w:tc>
          <w:tcPr>
            <w:tcW w:w="1409" w:type="dxa"/>
            <w:tcBorders>
              <w:top w:val="single" w:sz="8" w:space="0" w:color="000000"/>
              <w:left w:val="single" w:sz="8" w:space="0" w:color="000000"/>
              <w:bottom w:val="single" w:sz="6" w:space="0" w:color="000000"/>
              <w:right w:val="single" w:sz="8" w:space="0" w:color="000000"/>
            </w:tcBorders>
            <w:vAlign w:val="center"/>
          </w:tcPr>
          <w:p w14:paraId="4405E2AD" w14:textId="77777777" w:rsidR="008A6127" w:rsidRDefault="00437D9F">
            <w:pPr>
              <w:pStyle w:val="biaogeleft"/>
              <w:wordWrap w:val="0"/>
            </w:pPr>
            <w:r>
              <w:rPr>
                <w:rFonts w:hint="eastAsia"/>
              </w:rPr>
              <w:t>阶段</w:t>
            </w:r>
          </w:p>
        </w:tc>
        <w:tc>
          <w:tcPr>
            <w:tcW w:w="1133" w:type="dxa"/>
            <w:tcBorders>
              <w:top w:val="single" w:sz="8" w:space="0" w:color="000000"/>
              <w:left w:val="single" w:sz="8" w:space="0" w:color="000000"/>
              <w:bottom w:val="single" w:sz="6" w:space="0" w:color="000000"/>
              <w:right w:val="single" w:sz="8" w:space="0" w:color="000000"/>
            </w:tcBorders>
            <w:vAlign w:val="center"/>
          </w:tcPr>
          <w:p w14:paraId="30D5EC14" w14:textId="77777777" w:rsidR="008A6127" w:rsidRDefault="00437D9F">
            <w:pPr>
              <w:pStyle w:val="biaogecenter"/>
              <w:wordWrap w:val="0"/>
            </w:pPr>
            <w:r>
              <w:rPr>
                <w:rFonts w:hint="eastAsia"/>
              </w:rPr>
              <w:t>净值增长率①</w:t>
            </w:r>
          </w:p>
        </w:tc>
        <w:tc>
          <w:tcPr>
            <w:tcW w:w="1134" w:type="dxa"/>
            <w:tcBorders>
              <w:top w:val="single" w:sz="8" w:space="0" w:color="000000"/>
              <w:left w:val="single" w:sz="8" w:space="0" w:color="000000"/>
              <w:bottom w:val="single" w:sz="6" w:space="0" w:color="000000"/>
              <w:right w:val="single" w:sz="8" w:space="0" w:color="000000"/>
            </w:tcBorders>
            <w:vAlign w:val="center"/>
          </w:tcPr>
          <w:p w14:paraId="19CE7DF4" w14:textId="77777777" w:rsidR="008A6127" w:rsidRDefault="00437D9F">
            <w:pPr>
              <w:pStyle w:val="biaogecenter"/>
              <w:wordWrap w:val="0"/>
            </w:pPr>
            <w:r>
              <w:rPr>
                <w:rFonts w:hint="eastAsia"/>
              </w:rPr>
              <w:t>净值增长率标准差②</w:t>
            </w:r>
          </w:p>
        </w:tc>
        <w:tc>
          <w:tcPr>
            <w:tcW w:w="1559" w:type="dxa"/>
            <w:tcBorders>
              <w:top w:val="single" w:sz="8" w:space="0" w:color="000000"/>
              <w:left w:val="single" w:sz="8" w:space="0" w:color="000000"/>
              <w:bottom w:val="single" w:sz="6" w:space="0" w:color="000000"/>
              <w:right w:val="single" w:sz="8" w:space="0" w:color="000000"/>
            </w:tcBorders>
            <w:vAlign w:val="center"/>
          </w:tcPr>
          <w:p w14:paraId="21C2C672" w14:textId="77777777" w:rsidR="008A6127" w:rsidRDefault="00437D9F">
            <w:pPr>
              <w:pStyle w:val="biaogecenter"/>
              <w:wordWrap w:val="0"/>
            </w:pPr>
            <w:r>
              <w:rPr>
                <w:rFonts w:hint="eastAsia"/>
              </w:rPr>
              <w:t>业绩比较基准收益率③</w:t>
            </w:r>
          </w:p>
        </w:tc>
        <w:tc>
          <w:tcPr>
            <w:tcW w:w="1276" w:type="dxa"/>
            <w:tcBorders>
              <w:top w:val="single" w:sz="8" w:space="0" w:color="000000"/>
              <w:left w:val="single" w:sz="8" w:space="0" w:color="000000"/>
              <w:bottom w:val="single" w:sz="6" w:space="0" w:color="000000"/>
              <w:right w:val="single" w:sz="8" w:space="0" w:color="000000"/>
            </w:tcBorders>
            <w:vAlign w:val="center"/>
          </w:tcPr>
          <w:p w14:paraId="4843BDDC" w14:textId="77777777" w:rsidR="008A6127" w:rsidRDefault="00437D9F">
            <w:pPr>
              <w:pStyle w:val="biaogecenter"/>
              <w:wordWrap w:val="0"/>
            </w:pPr>
            <w:r>
              <w:rPr>
                <w:rFonts w:hint="eastAsia"/>
              </w:rPr>
              <w:t>业绩比较基准收益率标准差④</w:t>
            </w:r>
          </w:p>
        </w:tc>
        <w:tc>
          <w:tcPr>
            <w:tcW w:w="1417" w:type="dxa"/>
            <w:tcBorders>
              <w:top w:val="single" w:sz="8" w:space="0" w:color="000000"/>
              <w:left w:val="single" w:sz="8" w:space="0" w:color="000000"/>
              <w:bottom w:val="single" w:sz="6" w:space="0" w:color="000000"/>
              <w:right w:val="single" w:sz="8" w:space="0" w:color="000000"/>
            </w:tcBorders>
            <w:vAlign w:val="center"/>
          </w:tcPr>
          <w:p w14:paraId="69D76E78" w14:textId="77777777" w:rsidR="008A6127" w:rsidRDefault="00437D9F">
            <w:pPr>
              <w:pStyle w:val="biaogecenter"/>
              <w:wordWrap w:val="0"/>
            </w:pPr>
            <w:r>
              <w:rPr>
                <w:rFonts w:hint="eastAsia"/>
              </w:rPr>
              <w:t>①-③</w:t>
            </w:r>
          </w:p>
        </w:tc>
        <w:tc>
          <w:tcPr>
            <w:tcW w:w="1192" w:type="dxa"/>
            <w:tcBorders>
              <w:top w:val="single" w:sz="8" w:space="0" w:color="000000"/>
              <w:left w:val="single" w:sz="8" w:space="0" w:color="000000"/>
              <w:bottom w:val="single" w:sz="6" w:space="0" w:color="000000"/>
              <w:right w:val="single" w:sz="8" w:space="0" w:color="000000"/>
            </w:tcBorders>
            <w:vAlign w:val="center"/>
          </w:tcPr>
          <w:p w14:paraId="08B5F1BA" w14:textId="77777777" w:rsidR="008A6127" w:rsidRDefault="00437D9F">
            <w:pPr>
              <w:pStyle w:val="biaogecenter"/>
              <w:wordWrap w:val="0"/>
            </w:pPr>
            <w:r>
              <w:rPr>
                <w:rFonts w:hint="eastAsia"/>
              </w:rPr>
              <w:t>②-④</w:t>
            </w:r>
          </w:p>
        </w:tc>
      </w:tr>
      <w:tr w:rsidR="00EA216F" w14:paraId="4A78B308" w14:textId="77777777" w:rsidTr="00F94CAE">
        <w:trPr>
          <w:jc w:val="center"/>
        </w:trPr>
        <w:tc>
          <w:tcPr>
            <w:tcW w:w="1409" w:type="dxa"/>
            <w:tcBorders>
              <w:top w:val="single" w:sz="8" w:space="0" w:color="000000"/>
              <w:left w:val="single" w:sz="8" w:space="0" w:color="000000"/>
              <w:bottom w:val="single" w:sz="6" w:space="0" w:color="000000"/>
              <w:right w:val="single" w:sz="8" w:space="0" w:color="000000"/>
            </w:tcBorders>
          </w:tcPr>
          <w:p w14:paraId="75209827" w14:textId="04DC1BA7" w:rsidR="00EA216F" w:rsidRDefault="00EA216F" w:rsidP="00EA216F">
            <w:pPr>
              <w:pStyle w:val="biaogeleft"/>
              <w:wordWrap w:val="0"/>
            </w:pPr>
            <w:r w:rsidRPr="00133A17">
              <w:rPr>
                <w:rFonts w:hint="eastAsia"/>
              </w:rPr>
              <w:t>过去三个月</w:t>
            </w:r>
          </w:p>
        </w:tc>
        <w:tc>
          <w:tcPr>
            <w:tcW w:w="1133" w:type="dxa"/>
            <w:tcBorders>
              <w:top w:val="single" w:sz="8" w:space="0" w:color="000000"/>
              <w:left w:val="single" w:sz="8" w:space="0" w:color="000000"/>
              <w:bottom w:val="single" w:sz="6" w:space="0" w:color="000000"/>
              <w:right w:val="single" w:sz="8" w:space="0" w:color="000000"/>
            </w:tcBorders>
          </w:tcPr>
          <w:p w14:paraId="7E7A0461" w14:textId="0B1D8A92" w:rsidR="00EA216F" w:rsidRDefault="00EA216F" w:rsidP="00EA216F">
            <w:pPr>
              <w:pStyle w:val="biaogecenter"/>
              <w:wordWrap w:val="0"/>
            </w:pPr>
            <w:r w:rsidRPr="00133A17">
              <w:rPr>
                <w:rFonts w:hint="eastAsia"/>
              </w:rPr>
              <w:t>10.03%</w:t>
            </w:r>
          </w:p>
        </w:tc>
        <w:tc>
          <w:tcPr>
            <w:tcW w:w="1134" w:type="dxa"/>
            <w:tcBorders>
              <w:top w:val="single" w:sz="8" w:space="0" w:color="000000"/>
              <w:left w:val="single" w:sz="8" w:space="0" w:color="000000"/>
              <w:bottom w:val="single" w:sz="6" w:space="0" w:color="000000"/>
              <w:right w:val="single" w:sz="8" w:space="0" w:color="000000"/>
            </w:tcBorders>
          </w:tcPr>
          <w:p w14:paraId="2A06F2F4" w14:textId="0759BFA9" w:rsidR="00EA216F" w:rsidRDefault="00EA216F" w:rsidP="00EA216F">
            <w:pPr>
              <w:pStyle w:val="biaogecenter"/>
              <w:wordWrap w:val="0"/>
            </w:pPr>
            <w:r w:rsidRPr="00133A17">
              <w:rPr>
                <w:rFonts w:hint="eastAsia"/>
              </w:rPr>
              <w:t>1.59%</w:t>
            </w:r>
          </w:p>
        </w:tc>
        <w:tc>
          <w:tcPr>
            <w:tcW w:w="1559" w:type="dxa"/>
            <w:tcBorders>
              <w:top w:val="single" w:sz="8" w:space="0" w:color="000000"/>
              <w:left w:val="single" w:sz="8" w:space="0" w:color="000000"/>
              <w:bottom w:val="single" w:sz="6" w:space="0" w:color="000000"/>
              <w:right w:val="single" w:sz="8" w:space="0" w:color="000000"/>
            </w:tcBorders>
          </w:tcPr>
          <w:p w14:paraId="67A33BE7" w14:textId="191A67DA" w:rsidR="00EA216F" w:rsidRDefault="00EA216F" w:rsidP="00EA216F">
            <w:pPr>
              <w:pStyle w:val="biaogecenter"/>
              <w:wordWrap w:val="0"/>
            </w:pPr>
            <w:r w:rsidRPr="00133A17">
              <w:rPr>
                <w:rFonts w:hint="eastAsia"/>
              </w:rPr>
              <w:t>5.19%</w:t>
            </w:r>
          </w:p>
        </w:tc>
        <w:tc>
          <w:tcPr>
            <w:tcW w:w="1276" w:type="dxa"/>
            <w:tcBorders>
              <w:top w:val="single" w:sz="8" w:space="0" w:color="000000"/>
              <w:left w:val="single" w:sz="8" w:space="0" w:color="000000"/>
              <w:bottom w:val="single" w:sz="6" w:space="0" w:color="000000"/>
              <w:right w:val="single" w:sz="8" w:space="0" w:color="000000"/>
            </w:tcBorders>
          </w:tcPr>
          <w:p w14:paraId="7C3DEEC5" w14:textId="250EC52D" w:rsidR="00EA216F" w:rsidRDefault="00EA216F" w:rsidP="00EA216F">
            <w:pPr>
              <w:pStyle w:val="biaogecenter"/>
              <w:wordWrap w:val="0"/>
            </w:pPr>
            <w:r w:rsidRPr="00133A17">
              <w:rPr>
                <w:rFonts w:hint="eastAsia"/>
              </w:rPr>
              <w:t>0.70%</w:t>
            </w:r>
          </w:p>
        </w:tc>
        <w:tc>
          <w:tcPr>
            <w:tcW w:w="1417" w:type="dxa"/>
            <w:tcBorders>
              <w:top w:val="single" w:sz="8" w:space="0" w:color="000000"/>
              <w:left w:val="single" w:sz="8" w:space="0" w:color="000000"/>
              <w:bottom w:val="single" w:sz="6" w:space="0" w:color="000000"/>
              <w:right w:val="single" w:sz="8" w:space="0" w:color="000000"/>
            </w:tcBorders>
          </w:tcPr>
          <w:p w14:paraId="6EFE044F" w14:textId="42AF24EA" w:rsidR="00EA216F" w:rsidRDefault="00EA216F" w:rsidP="00EA216F">
            <w:pPr>
              <w:pStyle w:val="biaogecenter"/>
              <w:wordWrap w:val="0"/>
            </w:pPr>
            <w:r w:rsidRPr="00133A17">
              <w:rPr>
                <w:rFonts w:hint="eastAsia"/>
              </w:rPr>
              <w:t>4.84%</w:t>
            </w:r>
          </w:p>
        </w:tc>
        <w:tc>
          <w:tcPr>
            <w:tcW w:w="1192" w:type="dxa"/>
            <w:tcBorders>
              <w:top w:val="single" w:sz="8" w:space="0" w:color="000000"/>
              <w:left w:val="single" w:sz="8" w:space="0" w:color="000000"/>
              <w:bottom w:val="single" w:sz="6" w:space="0" w:color="000000"/>
              <w:right w:val="single" w:sz="8" w:space="0" w:color="000000"/>
            </w:tcBorders>
          </w:tcPr>
          <w:p w14:paraId="21F83792" w14:textId="54280F7B" w:rsidR="00EA216F" w:rsidRDefault="00EA216F" w:rsidP="00EA216F">
            <w:pPr>
              <w:pStyle w:val="biaogecenter"/>
              <w:wordWrap w:val="0"/>
            </w:pPr>
            <w:r w:rsidRPr="00133A17">
              <w:rPr>
                <w:rFonts w:hint="eastAsia"/>
              </w:rPr>
              <w:t>0.89%</w:t>
            </w:r>
          </w:p>
        </w:tc>
      </w:tr>
      <w:tr w:rsidR="00EA216F" w14:paraId="79DCC27A" w14:textId="77777777" w:rsidTr="00F94CAE">
        <w:trPr>
          <w:jc w:val="center"/>
        </w:trPr>
        <w:tc>
          <w:tcPr>
            <w:tcW w:w="1409" w:type="dxa"/>
            <w:tcBorders>
              <w:top w:val="single" w:sz="8" w:space="0" w:color="000000"/>
              <w:left w:val="single" w:sz="8" w:space="0" w:color="000000"/>
              <w:bottom w:val="single" w:sz="6" w:space="0" w:color="000000"/>
              <w:right w:val="single" w:sz="8" w:space="0" w:color="000000"/>
            </w:tcBorders>
          </w:tcPr>
          <w:p w14:paraId="13790F54" w14:textId="1FE6BFCC" w:rsidR="00EA216F" w:rsidRDefault="00EA216F" w:rsidP="00EA216F">
            <w:pPr>
              <w:pStyle w:val="biaogeleft"/>
              <w:wordWrap w:val="0"/>
            </w:pPr>
            <w:r w:rsidRPr="00133A17">
              <w:rPr>
                <w:rFonts w:hint="eastAsia"/>
              </w:rPr>
              <w:lastRenderedPageBreak/>
              <w:t>过去六个月</w:t>
            </w:r>
          </w:p>
        </w:tc>
        <w:tc>
          <w:tcPr>
            <w:tcW w:w="1133" w:type="dxa"/>
            <w:tcBorders>
              <w:top w:val="single" w:sz="8" w:space="0" w:color="000000"/>
              <w:left w:val="single" w:sz="8" w:space="0" w:color="000000"/>
              <w:bottom w:val="single" w:sz="6" w:space="0" w:color="000000"/>
              <w:right w:val="single" w:sz="8" w:space="0" w:color="000000"/>
            </w:tcBorders>
          </w:tcPr>
          <w:p w14:paraId="264DBFB1" w14:textId="7258ADFA" w:rsidR="00EA216F" w:rsidRDefault="00EA216F" w:rsidP="00EA216F">
            <w:pPr>
              <w:pStyle w:val="biaogecenter"/>
              <w:wordWrap w:val="0"/>
            </w:pPr>
            <w:r w:rsidRPr="00133A17">
              <w:rPr>
                <w:rFonts w:hint="eastAsia"/>
              </w:rPr>
              <w:t>11.57%</w:t>
            </w:r>
          </w:p>
        </w:tc>
        <w:tc>
          <w:tcPr>
            <w:tcW w:w="1134" w:type="dxa"/>
            <w:tcBorders>
              <w:top w:val="single" w:sz="8" w:space="0" w:color="000000"/>
              <w:left w:val="single" w:sz="8" w:space="0" w:color="000000"/>
              <w:bottom w:val="single" w:sz="6" w:space="0" w:color="000000"/>
              <w:right w:val="single" w:sz="8" w:space="0" w:color="000000"/>
            </w:tcBorders>
          </w:tcPr>
          <w:p w14:paraId="0FBFA94B" w14:textId="4F174ADA" w:rsidR="00EA216F" w:rsidRDefault="00EA216F" w:rsidP="00EA216F">
            <w:pPr>
              <w:pStyle w:val="biaogecenter"/>
              <w:wordWrap w:val="0"/>
            </w:pPr>
            <w:r w:rsidRPr="00133A17">
              <w:rPr>
                <w:rFonts w:hint="eastAsia"/>
              </w:rPr>
              <w:t>1.53%</w:t>
            </w:r>
          </w:p>
        </w:tc>
        <w:tc>
          <w:tcPr>
            <w:tcW w:w="1559" w:type="dxa"/>
            <w:tcBorders>
              <w:top w:val="single" w:sz="8" w:space="0" w:color="000000"/>
              <w:left w:val="single" w:sz="8" w:space="0" w:color="000000"/>
              <w:bottom w:val="single" w:sz="6" w:space="0" w:color="000000"/>
              <w:right w:val="single" w:sz="8" w:space="0" w:color="000000"/>
            </w:tcBorders>
          </w:tcPr>
          <w:p w14:paraId="46CE5A5E" w14:textId="4B9F70ED" w:rsidR="00EA216F" w:rsidRDefault="00EA216F" w:rsidP="00EA216F">
            <w:pPr>
              <w:pStyle w:val="biaogecenter"/>
              <w:wordWrap w:val="0"/>
            </w:pPr>
            <w:r w:rsidRPr="00133A17">
              <w:rPr>
                <w:rFonts w:hint="eastAsia"/>
              </w:rPr>
              <w:t>2.67%</w:t>
            </w:r>
          </w:p>
        </w:tc>
        <w:tc>
          <w:tcPr>
            <w:tcW w:w="1276" w:type="dxa"/>
            <w:tcBorders>
              <w:top w:val="single" w:sz="8" w:space="0" w:color="000000"/>
              <w:left w:val="single" w:sz="8" w:space="0" w:color="000000"/>
              <w:bottom w:val="single" w:sz="6" w:space="0" w:color="000000"/>
              <w:right w:val="single" w:sz="8" w:space="0" w:color="000000"/>
            </w:tcBorders>
          </w:tcPr>
          <w:p w14:paraId="756DA3DC" w14:textId="3EBC04DF" w:rsidR="00EA216F" w:rsidRDefault="00EA216F" w:rsidP="00EA216F">
            <w:pPr>
              <w:pStyle w:val="biaogecenter"/>
              <w:wordWrap w:val="0"/>
            </w:pPr>
            <w:r w:rsidRPr="00133A17">
              <w:rPr>
                <w:rFonts w:hint="eastAsia"/>
              </w:rPr>
              <w:t>0.65%</w:t>
            </w:r>
          </w:p>
        </w:tc>
        <w:tc>
          <w:tcPr>
            <w:tcW w:w="1417" w:type="dxa"/>
            <w:tcBorders>
              <w:top w:val="single" w:sz="8" w:space="0" w:color="000000"/>
              <w:left w:val="single" w:sz="8" w:space="0" w:color="000000"/>
              <w:bottom w:val="single" w:sz="6" w:space="0" w:color="000000"/>
              <w:right w:val="single" w:sz="8" w:space="0" w:color="000000"/>
            </w:tcBorders>
          </w:tcPr>
          <w:p w14:paraId="0A34155A" w14:textId="4E13B182" w:rsidR="00EA216F" w:rsidRDefault="00EA216F" w:rsidP="00EA216F">
            <w:pPr>
              <w:pStyle w:val="biaogecenter"/>
              <w:wordWrap w:val="0"/>
            </w:pPr>
            <w:r w:rsidRPr="00133A17">
              <w:rPr>
                <w:rFonts w:hint="eastAsia"/>
              </w:rPr>
              <w:t>8.90%</w:t>
            </w:r>
          </w:p>
        </w:tc>
        <w:tc>
          <w:tcPr>
            <w:tcW w:w="1192" w:type="dxa"/>
            <w:tcBorders>
              <w:top w:val="single" w:sz="8" w:space="0" w:color="000000"/>
              <w:left w:val="single" w:sz="8" w:space="0" w:color="000000"/>
              <w:bottom w:val="single" w:sz="6" w:space="0" w:color="000000"/>
              <w:right w:val="single" w:sz="8" w:space="0" w:color="000000"/>
            </w:tcBorders>
          </w:tcPr>
          <w:p w14:paraId="0B23DCDD" w14:textId="648DA18A" w:rsidR="00EA216F" w:rsidRDefault="00EA216F" w:rsidP="00EA216F">
            <w:pPr>
              <w:pStyle w:val="biaogecenter"/>
              <w:wordWrap w:val="0"/>
            </w:pPr>
            <w:r w:rsidRPr="00133A17">
              <w:rPr>
                <w:rFonts w:hint="eastAsia"/>
              </w:rPr>
              <w:t>0.88%</w:t>
            </w:r>
          </w:p>
        </w:tc>
      </w:tr>
      <w:tr w:rsidR="00EA216F" w14:paraId="5C772DFE" w14:textId="77777777" w:rsidTr="00F94CAE">
        <w:trPr>
          <w:jc w:val="center"/>
        </w:trPr>
        <w:tc>
          <w:tcPr>
            <w:tcW w:w="1409" w:type="dxa"/>
            <w:tcBorders>
              <w:top w:val="single" w:sz="8" w:space="0" w:color="000000"/>
              <w:left w:val="single" w:sz="8" w:space="0" w:color="000000"/>
              <w:bottom w:val="single" w:sz="6" w:space="0" w:color="000000"/>
              <w:right w:val="single" w:sz="8" w:space="0" w:color="000000"/>
            </w:tcBorders>
          </w:tcPr>
          <w:p w14:paraId="251DCB5E" w14:textId="287B18C1" w:rsidR="00EA216F" w:rsidRDefault="00EA216F" w:rsidP="00EA216F">
            <w:pPr>
              <w:pStyle w:val="biaogeleft"/>
              <w:wordWrap w:val="0"/>
            </w:pPr>
            <w:r w:rsidRPr="00133A17">
              <w:rPr>
                <w:rFonts w:hint="eastAsia"/>
              </w:rPr>
              <w:t>过去一年</w:t>
            </w:r>
          </w:p>
        </w:tc>
        <w:tc>
          <w:tcPr>
            <w:tcW w:w="1133" w:type="dxa"/>
            <w:tcBorders>
              <w:top w:val="single" w:sz="8" w:space="0" w:color="000000"/>
              <w:left w:val="single" w:sz="8" w:space="0" w:color="000000"/>
              <w:bottom w:val="single" w:sz="6" w:space="0" w:color="000000"/>
              <w:right w:val="single" w:sz="8" w:space="0" w:color="000000"/>
            </w:tcBorders>
          </w:tcPr>
          <w:p w14:paraId="030F912C" w14:textId="157173FD" w:rsidR="00EA216F" w:rsidRDefault="00EA216F" w:rsidP="00EA216F">
            <w:pPr>
              <w:pStyle w:val="biaogecenter"/>
              <w:wordWrap w:val="0"/>
            </w:pPr>
            <w:r w:rsidRPr="00133A17">
              <w:rPr>
                <w:rFonts w:hint="eastAsia"/>
              </w:rPr>
              <w:t>20.41%</w:t>
            </w:r>
          </w:p>
        </w:tc>
        <w:tc>
          <w:tcPr>
            <w:tcW w:w="1134" w:type="dxa"/>
            <w:tcBorders>
              <w:top w:val="single" w:sz="8" w:space="0" w:color="000000"/>
              <w:left w:val="single" w:sz="8" w:space="0" w:color="000000"/>
              <w:bottom w:val="single" w:sz="6" w:space="0" w:color="000000"/>
              <w:right w:val="single" w:sz="8" w:space="0" w:color="000000"/>
            </w:tcBorders>
          </w:tcPr>
          <w:p w14:paraId="0740E50F" w14:textId="3C7B7C83" w:rsidR="00EA216F" w:rsidRDefault="00EA216F" w:rsidP="00EA216F">
            <w:pPr>
              <w:pStyle w:val="biaogecenter"/>
              <w:wordWrap w:val="0"/>
            </w:pPr>
            <w:r w:rsidRPr="00133A17">
              <w:rPr>
                <w:rFonts w:hint="eastAsia"/>
              </w:rPr>
              <w:t>1.36%</w:t>
            </w:r>
          </w:p>
        </w:tc>
        <w:tc>
          <w:tcPr>
            <w:tcW w:w="1559" w:type="dxa"/>
            <w:tcBorders>
              <w:top w:val="single" w:sz="8" w:space="0" w:color="000000"/>
              <w:left w:val="single" w:sz="8" w:space="0" w:color="000000"/>
              <w:bottom w:val="single" w:sz="6" w:space="0" w:color="000000"/>
              <w:right w:val="single" w:sz="8" w:space="0" w:color="000000"/>
            </w:tcBorders>
          </w:tcPr>
          <w:p w14:paraId="5FA01A09" w14:textId="686491FE" w:rsidR="00EA216F" w:rsidRDefault="00EA216F" w:rsidP="00EA216F">
            <w:pPr>
              <w:pStyle w:val="biaogecenter"/>
              <w:wordWrap w:val="0"/>
            </w:pPr>
            <w:r w:rsidRPr="00133A17">
              <w:rPr>
                <w:rFonts w:hint="eastAsia"/>
              </w:rPr>
              <w:t>11.71%</w:t>
            </w:r>
          </w:p>
        </w:tc>
        <w:tc>
          <w:tcPr>
            <w:tcW w:w="1276" w:type="dxa"/>
            <w:tcBorders>
              <w:top w:val="single" w:sz="8" w:space="0" w:color="000000"/>
              <w:left w:val="single" w:sz="8" w:space="0" w:color="000000"/>
              <w:bottom w:val="single" w:sz="6" w:space="0" w:color="000000"/>
              <w:right w:val="single" w:sz="8" w:space="0" w:color="000000"/>
            </w:tcBorders>
          </w:tcPr>
          <w:p w14:paraId="1C13B4D6" w14:textId="7541A665" w:rsidR="00EA216F" w:rsidRDefault="00EA216F" w:rsidP="00EA216F">
            <w:pPr>
              <w:pStyle w:val="biaogecenter"/>
              <w:wordWrap w:val="0"/>
            </w:pPr>
            <w:r w:rsidRPr="00133A17">
              <w:rPr>
                <w:rFonts w:hint="eastAsia"/>
              </w:rPr>
              <w:t>0.59%</w:t>
            </w:r>
          </w:p>
        </w:tc>
        <w:tc>
          <w:tcPr>
            <w:tcW w:w="1417" w:type="dxa"/>
            <w:tcBorders>
              <w:top w:val="single" w:sz="8" w:space="0" w:color="000000"/>
              <w:left w:val="single" w:sz="8" w:space="0" w:color="000000"/>
              <w:bottom w:val="single" w:sz="6" w:space="0" w:color="000000"/>
              <w:right w:val="single" w:sz="8" w:space="0" w:color="000000"/>
            </w:tcBorders>
          </w:tcPr>
          <w:p w14:paraId="3B0D3DAD" w14:textId="72996AD2" w:rsidR="00EA216F" w:rsidRDefault="00EA216F" w:rsidP="00EA216F">
            <w:pPr>
              <w:pStyle w:val="biaogecenter"/>
              <w:wordWrap w:val="0"/>
            </w:pPr>
            <w:r w:rsidRPr="00133A17">
              <w:rPr>
                <w:rFonts w:hint="eastAsia"/>
              </w:rPr>
              <w:t>8.70%</w:t>
            </w:r>
          </w:p>
        </w:tc>
        <w:tc>
          <w:tcPr>
            <w:tcW w:w="1192" w:type="dxa"/>
            <w:tcBorders>
              <w:top w:val="single" w:sz="8" w:space="0" w:color="000000"/>
              <w:left w:val="single" w:sz="8" w:space="0" w:color="000000"/>
              <w:bottom w:val="single" w:sz="6" w:space="0" w:color="000000"/>
              <w:right w:val="single" w:sz="8" w:space="0" w:color="000000"/>
            </w:tcBorders>
          </w:tcPr>
          <w:p w14:paraId="0603D7B7" w14:textId="02A3FD7E" w:rsidR="00EA216F" w:rsidRDefault="00EA216F" w:rsidP="00EA216F">
            <w:pPr>
              <w:pStyle w:val="biaogecenter"/>
              <w:wordWrap w:val="0"/>
            </w:pPr>
            <w:r w:rsidRPr="00133A17">
              <w:rPr>
                <w:rFonts w:hint="eastAsia"/>
              </w:rPr>
              <w:t>0.77%</w:t>
            </w:r>
          </w:p>
        </w:tc>
      </w:tr>
      <w:tr w:rsidR="00EA216F" w14:paraId="5071AF5F" w14:textId="77777777" w:rsidTr="00F94CAE">
        <w:trPr>
          <w:jc w:val="center"/>
        </w:trPr>
        <w:tc>
          <w:tcPr>
            <w:tcW w:w="1409" w:type="dxa"/>
            <w:tcBorders>
              <w:top w:val="single" w:sz="8" w:space="0" w:color="000000"/>
              <w:left w:val="single" w:sz="8" w:space="0" w:color="000000"/>
              <w:bottom w:val="single" w:sz="6" w:space="0" w:color="000000"/>
              <w:right w:val="single" w:sz="8" w:space="0" w:color="000000"/>
            </w:tcBorders>
          </w:tcPr>
          <w:p w14:paraId="632C510C" w14:textId="68408058" w:rsidR="00EA216F" w:rsidRDefault="00EA216F" w:rsidP="00EA216F">
            <w:pPr>
              <w:pStyle w:val="biaogeleft"/>
              <w:wordWrap w:val="0"/>
            </w:pPr>
            <w:r w:rsidRPr="00133A17">
              <w:rPr>
                <w:rFonts w:hint="eastAsia"/>
              </w:rPr>
              <w:t>过去三年</w:t>
            </w:r>
          </w:p>
        </w:tc>
        <w:tc>
          <w:tcPr>
            <w:tcW w:w="1133" w:type="dxa"/>
            <w:tcBorders>
              <w:top w:val="single" w:sz="8" w:space="0" w:color="000000"/>
              <w:left w:val="single" w:sz="8" w:space="0" w:color="000000"/>
              <w:bottom w:val="single" w:sz="6" w:space="0" w:color="000000"/>
              <w:right w:val="single" w:sz="8" w:space="0" w:color="000000"/>
            </w:tcBorders>
          </w:tcPr>
          <w:p w14:paraId="362E2927" w14:textId="0D88AB4E" w:rsidR="00EA216F" w:rsidRDefault="00EA216F" w:rsidP="00EA216F">
            <w:pPr>
              <w:pStyle w:val="biaogecenter"/>
              <w:wordWrap w:val="0"/>
            </w:pPr>
            <w:r w:rsidRPr="00133A17">
              <w:rPr>
                <w:rFonts w:hint="eastAsia"/>
              </w:rPr>
              <w:t>9.62%</w:t>
            </w:r>
          </w:p>
        </w:tc>
        <w:tc>
          <w:tcPr>
            <w:tcW w:w="1134" w:type="dxa"/>
            <w:tcBorders>
              <w:top w:val="single" w:sz="8" w:space="0" w:color="000000"/>
              <w:left w:val="single" w:sz="8" w:space="0" w:color="000000"/>
              <w:bottom w:val="single" w:sz="6" w:space="0" w:color="000000"/>
              <w:right w:val="single" w:sz="8" w:space="0" w:color="000000"/>
            </w:tcBorders>
          </w:tcPr>
          <w:p w14:paraId="23ED974F" w14:textId="4F209911" w:rsidR="00EA216F" w:rsidRDefault="00EA216F" w:rsidP="00EA216F">
            <w:pPr>
              <w:pStyle w:val="biaogecenter"/>
              <w:wordWrap w:val="0"/>
            </w:pPr>
            <w:r w:rsidRPr="00133A17">
              <w:rPr>
                <w:rFonts w:hint="eastAsia"/>
              </w:rPr>
              <w:t>1.26%</w:t>
            </w:r>
          </w:p>
        </w:tc>
        <w:tc>
          <w:tcPr>
            <w:tcW w:w="1559" w:type="dxa"/>
            <w:tcBorders>
              <w:top w:val="single" w:sz="8" w:space="0" w:color="000000"/>
              <w:left w:val="single" w:sz="8" w:space="0" w:color="000000"/>
              <w:bottom w:val="single" w:sz="6" w:space="0" w:color="000000"/>
              <w:right w:val="single" w:sz="8" w:space="0" w:color="000000"/>
            </w:tcBorders>
          </w:tcPr>
          <w:p w14:paraId="6CD278E1" w14:textId="309CF0D3" w:rsidR="00EA216F" w:rsidRDefault="00EA216F" w:rsidP="00EA216F">
            <w:pPr>
              <w:pStyle w:val="biaogecenter"/>
              <w:wordWrap w:val="0"/>
            </w:pPr>
            <w:r w:rsidRPr="00133A17">
              <w:rPr>
                <w:rFonts w:hint="eastAsia"/>
              </w:rPr>
              <w:t>19.25%</w:t>
            </w:r>
          </w:p>
        </w:tc>
        <w:tc>
          <w:tcPr>
            <w:tcW w:w="1276" w:type="dxa"/>
            <w:tcBorders>
              <w:top w:val="single" w:sz="8" w:space="0" w:color="000000"/>
              <w:left w:val="single" w:sz="8" w:space="0" w:color="000000"/>
              <w:bottom w:val="single" w:sz="6" w:space="0" w:color="000000"/>
              <w:right w:val="single" w:sz="8" w:space="0" w:color="000000"/>
            </w:tcBorders>
          </w:tcPr>
          <w:p w14:paraId="61743F01" w14:textId="0FCFABB7" w:rsidR="00EA216F" w:rsidRDefault="00EA216F" w:rsidP="00EA216F">
            <w:pPr>
              <w:pStyle w:val="biaogecenter"/>
              <w:wordWrap w:val="0"/>
            </w:pPr>
            <w:r w:rsidRPr="00133A17">
              <w:rPr>
                <w:rFonts w:hint="eastAsia"/>
              </w:rPr>
              <w:t>0.64%</w:t>
            </w:r>
          </w:p>
        </w:tc>
        <w:tc>
          <w:tcPr>
            <w:tcW w:w="1417" w:type="dxa"/>
            <w:tcBorders>
              <w:top w:val="single" w:sz="8" w:space="0" w:color="000000"/>
              <w:left w:val="single" w:sz="8" w:space="0" w:color="000000"/>
              <w:bottom w:val="single" w:sz="6" w:space="0" w:color="000000"/>
              <w:right w:val="single" w:sz="8" w:space="0" w:color="000000"/>
            </w:tcBorders>
          </w:tcPr>
          <w:p w14:paraId="43A1FF86" w14:textId="2CFB55E3" w:rsidR="00EA216F" w:rsidRDefault="00EA216F" w:rsidP="00EA216F">
            <w:pPr>
              <w:pStyle w:val="biaogecenter"/>
              <w:wordWrap w:val="0"/>
            </w:pPr>
            <w:r w:rsidRPr="00133A17">
              <w:rPr>
                <w:rFonts w:hint="eastAsia"/>
              </w:rPr>
              <w:t>-9.63%</w:t>
            </w:r>
          </w:p>
        </w:tc>
        <w:tc>
          <w:tcPr>
            <w:tcW w:w="1192" w:type="dxa"/>
            <w:tcBorders>
              <w:top w:val="single" w:sz="8" w:space="0" w:color="000000"/>
              <w:left w:val="single" w:sz="8" w:space="0" w:color="000000"/>
              <w:bottom w:val="single" w:sz="6" w:space="0" w:color="000000"/>
              <w:right w:val="single" w:sz="8" w:space="0" w:color="000000"/>
            </w:tcBorders>
          </w:tcPr>
          <w:p w14:paraId="38D4A2AE" w14:textId="411AA71A" w:rsidR="00EA216F" w:rsidRDefault="00EA216F" w:rsidP="00EA216F">
            <w:pPr>
              <w:pStyle w:val="biaogecenter"/>
              <w:wordWrap w:val="0"/>
            </w:pPr>
            <w:r w:rsidRPr="00133A17">
              <w:rPr>
                <w:rFonts w:hint="eastAsia"/>
              </w:rPr>
              <w:t>0.62%</w:t>
            </w:r>
          </w:p>
        </w:tc>
      </w:tr>
      <w:tr w:rsidR="00EA216F" w14:paraId="10085357" w14:textId="77777777" w:rsidTr="00F94CAE">
        <w:trPr>
          <w:jc w:val="center"/>
        </w:trPr>
        <w:tc>
          <w:tcPr>
            <w:tcW w:w="1409" w:type="dxa"/>
            <w:tcBorders>
              <w:top w:val="single" w:sz="8" w:space="0" w:color="000000"/>
              <w:left w:val="single" w:sz="8" w:space="0" w:color="000000"/>
              <w:bottom w:val="single" w:sz="6" w:space="0" w:color="000000"/>
              <w:right w:val="single" w:sz="8" w:space="0" w:color="000000"/>
            </w:tcBorders>
          </w:tcPr>
          <w:p w14:paraId="0D8EDAD4" w14:textId="36896EC8" w:rsidR="00EA216F" w:rsidRDefault="00EA216F" w:rsidP="00EA216F">
            <w:pPr>
              <w:pStyle w:val="biaogeleft"/>
              <w:wordWrap w:val="0"/>
            </w:pPr>
            <w:r w:rsidRPr="00133A17">
              <w:rPr>
                <w:rFonts w:hint="eastAsia"/>
              </w:rPr>
              <w:t>过去五年</w:t>
            </w:r>
          </w:p>
        </w:tc>
        <w:tc>
          <w:tcPr>
            <w:tcW w:w="1133" w:type="dxa"/>
            <w:tcBorders>
              <w:top w:val="single" w:sz="8" w:space="0" w:color="000000"/>
              <w:left w:val="single" w:sz="8" w:space="0" w:color="000000"/>
              <w:bottom w:val="single" w:sz="6" w:space="0" w:color="000000"/>
              <w:right w:val="single" w:sz="8" w:space="0" w:color="000000"/>
            </w:tcBorders>
          </w:tcPr>
          <w:p w14:paraId="3C6DACD1" w14:textId="516BBC6E" w:rsidR="00EA216F" w:rsidRPr="00E8224B" w:rsidRDefault="00EA216F" w:rsidP="00EA216F">
            <w:pPr>
              <w:pStyle w:val="biaogecenter"/>
              <w:wordWrap w:val="0"/>
            </w:pPr>
            <w:r w:rsidRPr="00133A17">
              <w:rPr>
                <w:rFonts w:hint="eastAsia"/>
              </w:rPr>
              <w:t>-17.03%</w:t>
            </w:r>
          </w:p>
        </w:tc>
        <w:tc>
          <w:tcPr>
            <w:tcW w:w="1134" w:type="dxa"/>
            <w:tcBorders>
              <w:top w:val="single" w:sz="8" w:space="0" w:color="000000"/>
              <w:left w:val="single" w:sz="8" w:space="0" w:color="000000"/>
              <w:bottom w:val="single" w:sz="6" w:space="0" w:color="000000"/>
              <w:right w:val="single" w:sz="8" w:space="0" w:color="000000"/>
            </w:tcBorders>
          </w:tcPr>
          <w:p w14:paraId="568B916F" w14:textId="2D28B6A2" w:rsidR="00EA216F" w:rsidRPr="00E8224B" w:rsidRDefault="00EA216F" w:rsidP="00EA216F">
            <w:pPr>
              <w:pStyle w:val="biaogecenter"/>
              <w:wordWrap w:val="0"/>
            </w:pPr>
            <w:r w:rsidRPr="00133A17">
              <w:rPr>
                <w:rFonts w:hint="eastAsia"/>
              </w:rPr>
              <w:t>1.28%</w:t>
            </w:r>
          </w:p>
        </w:tc>
        <w:tc>
          <w:tcPr>
            <w:tcW w:w="1559" w:type="dxa"/>
            <w:tcBorders>
              <w:top w:val="single" w:sz="8" w:space="0" w:color="000000"/>
              <w:left w:val="single" w:sz="8" w:space="0" w:color="000000"/>
              <w:bottom w:val="single" w:sz="6" w:space="0" w:color="000000"/>
              <w:right w:val="single" w:sz="8" w:space="0" w:color="000000"/>
            </w:tcBorders>
          </w:tcPr>
          <w:p w14:paraId="4357426A" w14:textId="0DF32332" w:rsidR="00EA216F" w:rsidRPr="00E8224B" w:rsidRDefault="00EA216F" w:rsidP="00EA216F">
            <w:pPr>
              <w:pStyle w:val="biaogecenter"/>
              <w:wordWrap w:val="0"/>
            </w:pPr>
            <w:r w:rsidRPr="00133A17">
              <w:rPr>
                <w:rFonts w:hint="eastAsia"/>
              </w:rPr>
              <w:t>1.13%</w:t>
            </w:r>
          </w:p>
        </w:tc>
        <w:tc>
          <w:tcPr>
            <w:tcW w:w="1276" w:type="dxa"/>
            <w:tcBorders>
              <w:top w:val="single" w:sz="8" w:space="0" w:color="000000"/>
              <w:left w:val="single" w:sz="8" w:space="0" w:color="000000"/>
              <w:bottom w:val="single" w:sz="6" w:space="0" w:color="000000"/>
              <w:right w:val="single" w:sz="8" w:space="0" w:color="000000"/>
            </w:tcBorders>
          </w:tcPr>
          <w:p w14:paraId="059BB65A" w14:textId="4399ED6F" w:rsidR="00EA216F" w:rsidRPr="00E8224B" w:rsidRDefault="00EA216F" w:rsidP="00EA216F">
            <w:pPr>
              <w:pStyle w:val="biaogecenter"/>
              <w:wordWrap w:val="0"/>
            </w:pPr>
            <w:r w:rsidRPr="00133A17">
              <w:rPr>
                <w:rFonts w:hint="eastAsia"/>
              </w:rPr>
              <w:t>0.66%</w:t>
            </w:r>
          </w:p>
        </w:tc>
        <w:tc>
          <w:tcPr>
            <w:tcW w:w="1417" w:type="dxa"/>
            <w:tcBorders>
              <w:top w:val="single" w:sz="8" w:space="0" w:color="000000"/>
              <w:left w:val="single" w:sz="8" w:space="0" w:color="000000"/>
              <w:bottom w:val="single" w:sz="6" w:space="0" w:color="000000"/>
              <w:right w:val="single" w:sz="8" w:space="0" w:color="000000"/>
            </w:tcBorders>
          </w:tcPr>
          <w:p w14:paraId="41AF4601" w14:textId="0336A4FA" w:rsidR="00EA216F" w:rsidRPr="00E8224B" w:rsidRDefault="00EA216F" w:rsidP="00EA216F">
            <w:pPr>
              <w:pStyle w:val="biaogecenter"/>
              <w:wordWrap w:val="0"/>
            </w:pPr>
            <w:r w:rsidRPr="00133A17">
              <w:rPr>
                <w:rFonts w:hint="eastAsia"/>
              </w:rPr>
              <w:t>-18.16%</w:t>
            </w:r>
          </w:p>
        </w:tc>
        <w:tc>
          <w:tcPr>
            <w:tcW w:w="1192" w:type="dxa"/>
            <w:tcBorders>
              <w:top w:val="single" w:sz="8" w:space="0" w:color="000000"/>
              <w:left w:val="single" w:sz="8" w:space="0" w:color="000000"/>
              <w:bottom w:val="single" w:sz="6" w:space="0" w:color="000000"/>
              <w:right w:val="single" w:sz="8" w:space="0" w:color="000000"/>
            </w:tcBorders>
          </w:tcPr>
          <w:p w14:paraId="7C1D6DC0" w14:textId="6263C2A4" w:rsidR="00EA216F" w:rsidRPr="00E8224B" w:rsidRDefault="00EA216F" w:rsidP="00EA216F">
            <w:pPr>
              <w:pStyle w:val="biaogecenter"/>
              <w:wordWrap w:val="0"/>
            </w:pPr>
            <w:r w:rsidRPr="00133A17">
              <w:rPr>
                <w:rFonts w:hint="eastAsia"/>
              </w:rPr>
              <w:t>0.62%</w:t>
            </w:r>
          </w:p>
        </w:tc>
      </w:tr>
      <w:tr w:rsidR="00EA216F" w14:paraId="1C7BED2D" w14:textId="77777777" w:rsidTr="00F94CAE">
        <w:trPr>
          <w:jc w:val="center"/>
        </w:trPr>
        <w:tc>
          <w:tcPr>
            <w:tcW w:w="1409" w:type="dxa"/>
            <w:tcBorders>
              <w:top w:val="single" w:sz="8" w:space="0" w:color="000000"/>
              <w:left w:val="single" w:sz="8" w:space="0" w:color="000000"/>
              <w:bottom w:val="single" w:sz="6" w:space="0" w:color="000000"/>
              <w:right w:val="single" w:sz="8" w:space="0" w:color="000000"/>
            </w:tcBorders>
          </w:tcPr>
          <w:p w14:paraId="4758C1D7" w14:textId="380BC215" w:rsidR="00EA216F" w:rsidRDefault="00EA216F" w:rsidP="00EA216F">
            <w:pPr>
              <w:pStyle w:val="biaogeleft"/>
              <w:wordWrap w:val="0"/>
            </w:pPr>
            <w:r w:rsidRPr="00133A17">
              <w:rPr>
                <w:rFonts w:hint="eastAsia"/>
              </w:rPr>
              <w:t>过去七年</w:t>
            </w:r>
          </w:p>
        </w:tc>
        <w:tc>
          <w:tcPr>
            <w:tcW w:w="1133" w:type="dxa"/>
            <w:tcBorders>
              <w:top w:val="single" w:sz="8" w:space="0" w:color="000000"/>
              <w:left w:val="single" w:sz="8" w:space="0" w:color="000000"/>
              <w:bottom w:val="single" w:sz="6" w:space="0" w:color="000000"/>
              <w:right w:val="single" w:sz="8" w:space="0" w:color="000000"/>
            </w:tcBorders>
          </w:tcPr>
          <w:p w14:paraId="33113191" w14:textId="36217247" w:rsidR="00EA216F" w:rsidRPr="00A36547" w:rsidRDefault="00EA216F" w:rsidP="00EA216F">
            <w:pPr>
              <w:pStyle w:val="biaogecenter"/>
              <w:wordWrap w:val="0"/>
            </w:pPr>
            <w:r w:rsidRPr="00133A17">
              <w:rPr>
                <w:rFonts w:hint="eastAsia"/>
              </w:rPr>
              <w:t>71.10%</w:t>
            </w:r>
          </w:p>
        </w:tc>
        <w:tc>
          <w:tcPr>
            <w:tcW w:w="1134" w:type="dxa"/>
            <w:tcBorders>
              <w:top w:val="single" w:sz="8" w:space="0" w:color="000000"/>
              <w:left w:val="single" w:sz="8" w:space="0" w:color="000000"/>
              <w:bottom w:val="single" w:sz="6" w:space="0" w:color="000000"/>
              <w:right w:val="single" w:sz="8" w:space="0" w:color="000000"/>
            </w:tcBorders>
          </w:tcPr>
          <w:p w14:paraId="35A7670F" w14:textId="3C29CEAE" w:rsidR="00EA216F" w:rsidRPr="00A36547" w:rsidRDefault="00EA216F" w:rsidP="00EA216F">
            <w:pPr>
              <w:pStyle w:val="biaogecenter"/>
              <w:wordWrap w:val="0"/>
            </w:pPr>
            <w:r w:rsidRPr="00133A17">
              <w:rPr>
                <w:rFonts w:hint="eastAsia"/>
              </w:rPr>
              <w:t>1.31%</w:t>
            </w:r>
          </w:p>
        </w:tc>
        <w:tc>
          <w:tcPr>
            <w:tcW w:w="1559" w:type="dxa"/>
            <w:tcBorders>
              <w:top w:val="single" w:sz="8" w:space="0" w:color="000000"/>
              <w:left w:val="single" w:sz="8" w:space="0" w:color="000000"/>
              <w:bottom w:val="single" w:sz="6" w:space="0" w:color="000000"/>
              <w:right w:val="single" w:sz="8" w:space="0" w:color="000000"/>
            </w:tcBorders>
          </w:tcPr>
          <w:p w14:paraId="72298D0D" w14:textId="2AEACE97" w:rsidR="00EA216F" w:rsidRPr="00A36547" w:rsidRDefault="00EA216F" w:rsidP="00EA216F">
            <w:pPr>
              <w:pStyle w:val="biaogecenter"/>
              <w:wordWrap w:val="0"/>
            </w:pPr>
            <w:r w:rsidRPr="00133A17">
              <w:rPr>
                <w:rFonts w:hint="eastAsia"/>
              </w:rPr>
              <w:t>21.95%</w:t>
            </w:r>
          </w:p>
        </w:tc>
        <w:tc>
          <w:tcPr>
            <w:tcW w:w="1276" w:type="dxa"/>
            <w:tcBorders>
              <w:top w:val="single" w:sz="8" w:space="0" w:color="000000"/>
              <w:left w:val="single" w:sz="8" w:space="0" w:color="000000"/>
              <w:bottom w:val="single" w:sz="6" w:space="0" w:color="000000"/>
              <w:right w:val="single" w:sz="8" w:space="0" w:color="000000"/>
            </w:tcBorders>
          </w:tcPr>
          <w:p w14:paraId="3F152D6D" w14:textId="0D04477B" w:rsidR="00EA216F" w:rsidRPr="00A36547" w:rsidRDefault="00EA216F" w:rsidP="00EA216F">
            <w:pPr>
              <w:pStyle w:val="biaogecenter"/>
              <w:wordWrap w:val="0"/>
            </w:pPr>
            <w:r w:rsidRPr="00133A17">
              <w:rPr>
                <w:rFonts w:hint="eastAsia"/>
              </w:rPr>
              <w:t>0.68%</w:t>
            </w:r>
          </w:p>
        </w:tc>
        <w:tc>
          <w:tcPr>
            <w:tcW w:w="1417" w:type="dxa"/>
            <w:tcBorders>
              <w:top w:val="single" w:sz="8" w:space="0" w:color="000000"/>
              <w:left w:val="single" w:sz="8" w:space="0" w:color="000000"/>
              <w:bottom w:val="single" w:sz="6" w:space="0" w:color="000000"/>
              <w:right w:val="single" w:sz="8" w:space="0" w:color="000000"/>
            </w:tcBorders>
          </w:tcPr>
          <w:p w14:paraId="2A7C7242" w14:textId="7836FE3D" w:rsidR="00EA216F" w:rsidRPr="00A36547" w:rsidRDefault="00EA216F" w:rsidP="00EA216F">
            <w:pPr>
              <w:pStyle w:val="biaogecenter"/>
              <w:wordWrap w:val="0"/>
            </w:pPr>
            <w:r w:rsidRPr="00133A17">
              <w:rPr>
                <w:rFonts w:hint="eastAsia"/>
              </w:rPr>
              <w:t>49.15%</w:t>
            </w:r>
          </w:p>
        </w:tc>
        <w:tc>
          <w:tcPr>
            <w:tcW w:w="1192" w:type="dxa"/>
            <w:tcBorders>
              <w:top w:val="single" w:sz="8" w:space="0" w:color="000000"/>
              <w:left w:val="single" w:sz="8" w:space="0" w:color="000000"/>
              <w:bottom w:val="single" w:sz="6" w:space="0" w:color="000000"/>
              <w:right w:val="single" w:sz="8" w:space="0" w:color="000000"/>
            </w:tcBorders>
          </w:tcPr>
          <w:p w14:paraId="033828A5" w14:textId="70C47214" w:rsidR="00EA216F" w:rsidRPr="00A36547" w:rsidRDefault="00EA216F" w:rsidP="00EA216F">
            <w:pPr>
              <w:pStyle w:val="biaogecenter"/>
              <w:wordWrap w:val="0"/>
            </w:pPr>
            <w:r w:rsidRPr="00133A17">
              <w:rPr>
                <w:rFonts w:hint="eastAsia"/>
              </w:rPr>
              <w:t>0.63%</w:t>
            </w:r>
          </w:p>
        </w:tc>
      </w:tr>
      <w:tr w:rsidR="00EA216F" w14:paraId="3965437D" w14:textId="77777777" w:rsidTr="00F94CAE">
        <w:trPr>
          <w:jc w:val="center"/>
        </w:trPr>
        <w:tc>
          <w:tcPr>
            <w:tcW w:w="1409" w:type="dxa"/>
            <w:tcBorders>
              <w:top w:val="single" w:sz="8" w:space="0" w:color="000000"/>
              <w:left w:val="single" w:sz="8" w:space="0" w:color="000000"/>
              <w:bottom w:val="single" w:sz="6" w:space="0" w:color="000000"/>
              <w:right w:val="single" w:sz="8" w:space="0" w:color="000000"/>
            </w:tcBorders>
          </w:tcPr>
          <w:p w14:paraId="3461B843" w14:textId="282EF3C9" w:rsidR="00EA216F" w:rsidRDefault="00EA216F" w:rsidP="00EA216F">
            <w:pPr>
              <w:pStyle w:val="biaogeleft"/>
              <w:wordWrap w:val="0"/>
            </w:pPr>
            <w:r w:rsidRPr="00133A17">
              <w:rPr>
                <w:rFonts w:hint="eastAsia"/>
              </w:rPr>
              <w:t>自基金合同生效起至今</w:t>
            </w:r>
          </w:p>
        </w:tc>
        <w:tc>
          <w:tcPr>
            <w:tcW w:w="1133" w:type="dxa"/>
            <w:tcBorders>
              <w:top w:val="single" w:sz="8" w:space="0" w:color="000000"/>
              <w:left w:val="single" w:sz="8" w:space="0" w:color="000000"/>
              <w:bottom w:val="single" w:sz="6" w:space="0" w:color="000000"/>
              <w:right w:val="single" w:sz="8" w:space="0" w:color="000000"/>
            </w:tcBorders>
          </w:tcPr>
          <w:p w14:paraId="23E6B9A2" w14:textId="2C4B2735" w:rsidR="00EA216F" w:rsidRDefault="00EA216F" w:rsidP="00EA216F">
            <w:pPr>
              <w:pStyle w:val="biaogecenter"/>
              <w:wordWrap w:val="0"/>
            </w:pPr>
            <w:r w:rsidRPr="00133A17">
              <w:rPr>
                <w:rFonts w:hint="eastAsia"/>
              </w:rPr>
              <w:t>71.08%</w:t>
            </w:r>
          </w:p>
        </w:tc>
        <w:tc>
          <w:tcPr>
            <w:tcW w:w="1134" w:type="dxa"/>
            <w:tcBorders>
              <w:top w:val="single" w:sz="8" w:space="0" w:color="000000"/>
              <w:left w:val="single" w:sz="8" w:space="0" w:color="000000"/>
              <w:bottom w:val="single" w:sz="6" w:space="0" w:color="000000"/>
              <w:right w:val="single" w:sz="8" w:space="0" w:color="000000"/>
            </w:tcBorders>
          </w:tcPr>
          <w:p w14:paraId="656C46C7" w14:textId="5A2BF724" w:rsidR="00EA216F" w:rsidRDefault="00EA216F" w:rsidP="00EA216F">
            <w:pPr>
              <w:pStyle w:val="biaogecenter"/>
              <w:wordWrap w:val="0"/>
            </w:pPr>
            <w:r w:rsidRPr="00133A17">
              <w:rPr>
                <w:rFonts w:hint="eastAsia"/>
              </w:rPr>
              <w:t>1.31%</w:t>
            </w:r>
          </w:p>
        </w:tc>
        <w:tc>
          <w:tcPr>
            <w:tcW w:w="1559" w:type="dxa"/>
            <w:tcBorders>
              <w:top w:val="single" w:sz="8" w:space="0" w:color="000000"/>
              <w:left w:val="single" w:sz="8" w:space="0" w:color="000000"/>
              <w:bottom w:val="single" w:sz="6" w:space="0" w:color="000000"/>
              <w:right w:val="single" w:sz="8" w:space="0" w:color="000000"/>
            </w:tcBorders>
          </w:tcPr>
          <w:p w14:paraId="05E432B6" w14:textId="63B50694" w:rsidR="00EA216F" w:rsidRDefault="00EA216F" w:rsidP="00EA216F">
            <w:pPr>
              <w:pStyle w:val="biaogecenter"/>
              <w:wordWrap w:val="0"/>
            </w:pPr>
            <w:r w:rsidRPr="00133A17">
              <w:rPr>
                <w:rFonts w:hint="eastAsia"/>
              </w:rPr>
              <w:t>22.60%</w:t>
            </w:r>
          </w:p>
        </w:tc>
        <w:tc>
          <w:tcPr>
            <w:tcW w:w="1276" w:type="dxa"/>
            <w:tcBorders>
              <w:top w:val="single" w:sz="8" w:space="0" w:color="000000"/>
              <w:left w:val="single" w:sz="8" w:space="0" w:color="000000"/>
              <w:bottom w:val="single" w:sz="6" w:space="0" w:color="000000"/>
              <w:right w:val="single" w:sz="8" w:space="0" w:color="000000"/>
            </w:tcBorders>
          </w:tcPr>
          <w:p w14:paraId="1E7A319B" w14:textId="32CA4830" w:rsidR="00EA216F" w:rsidRDefault="00EA216F" w:rsidP="00EA216F">
            <w:pPr>
              <w:pStyle w:val="biaogecenter"/>
              <w:wordWrap w:val="0"/>
            </w:pPr>
            <w:r w:rsidRPr="00133A17">
              <w:rPr>
                <w:rFonts w:hint="eastAsia"/>
              </w:rPr>
              <w:t>0.68%</w:t>
            </w:r>
          </w:p>
        </w:tc>
        <w:tc>
          <w:tcPr>
            <w:tcW w:w="1417" w:type="dxa"/>
            <w:tcBorders>
              <w:top w:val="single" w:sz="8" w:space="0" w:color="000000"/>
              <w:left w:val="single" w:sz="8" w:space="0" w:color="000000"/>
              <w:bottom w:val="single" w:sz="6" w:space="0" w:color="000000"/>
              <w:right w:val="single" w:sz="8" w:space="0" w:color="000000"/>
            </w:tcBorders>
          </w:tcPr>
          <w:p w14:paraId="50CDD7B5" w14:textId="15402CE9" w:rsidR="00EA216F" w:rsidRDefault="00EA216F" w:rsidP="00EA216F">
            <w:pPr>
              <w:pStyle w:val="biaogecenter"/>
              <w:wordWrap w:val="0"/>
            </w:pPr>
            <w:r w:rsidRPr="00133A17">
              <w:rPr>
                <w:rFonts w:hint="eastAsia"/>
              </w:rPr>
              <w:t>48.48%</w:t>
            </w:r>
          </w:p>
        </w:tc>
        <w:tc>
          <w:tcPr>
            <w:tcW w:w="1192" w:type="dxa"/>
            <w:tcBorders>
              <w:top w:val="single" w:sz="8" w:space="0" w:color="000000"/>
              <w:left w:val="single" w:sz="8" w:space="0" w:color="000000"/>
              <w:bottom w:val="single" w:sz="6" w:space="0" w:color="000000"/>
              <w:right w:val="single" w:sz="8" w:space="0" w:color="000000"/>
            </w:tcBorders>
          </w:tcPr>
          <w:p w14:paraId="03D910C7" w14:textId="5A07A775" w:rsidR="00EA216F" w:rsidRDefault="00EA216F" w:rsidP="00EA216F">
            <w:pPr>
              <w:pStyle w:val="biaogecenter"/>
              <w:wordWrap w:val="0"/>
            </w:pPr>
            <w:r w:rsidRPr="00133A17">
              <w:rPr>
                <w:rFonts w:hint="eastAsia"/>
              </w:rPr>
              <w:t>0.63%</w:t>
            </w:r>
          </w:p>
        </w:tc>
      </w:tr>
    </w:tbl>
    <w:p w14:paraId="7CDAD7CA" w14:textId="505EC58C" w:rsidR="008A6127" w:rsidRDefault="004E4F73" w:rsidP="00F94CAE">
      <w:pPr>
        <w:pStyle w:val="zhangjiep2"/>
        <w:rPr>
          <w:rFonts w:cs="Times New Roman"/>
          <w:kern w:val="2"/>
        </w:rPr>
      </w:pPr>
      <w:r w:rsidRPr="004E4F73">
        <w:rPr>
          <w:rFonts w:cs="Times New Roman" w:hint="eastAsia"/>
          <w:kern w:val="2"/>
        </w:rPr>
        <w:t>注：</w:t>
      </w:r>
      <w:proofErr w:type="gramStart"/>
      <w:r>
        <w:rPr>
          <w:rFonts w:cs="Times New Roman" w:hint="eastAsia"/>
          <w:kern w:val="2"/>
        </w:rPr>
        <w:t>本业绩</w:t>
      </w:r>
      <w:proofErr w:type="gramEnd"/>
      <w:r>
        <w:rPr>
          <w:rFonts w:cs="Times New Roman" w:hint="eastAsia"/>
          <w:kern w:val="2"/>
        </w:rPr>
        <w:t>期间的</w:t>
      </w:r>
      <w:r w:rsidRPr="004E4F73">
        <w:rPr>
          <w:rFonts w:cs="Times New Roman" w:hint="eastAsia"/>
          <w:kern w:val="2"/>
        </w:rPr>
        <w:t>业绩比较基准为：沪深300指数收益率*50%+中证港股</w:t>
      </w:r>
      <w:proofErr w:type="gramStart"/>
      <w:r w:rsidRPr="004E4F73">
        <w:rPr>
          <w:rFonts w:cs="Times New Roman" w:hint="eastAsia"/>
          <w:kern w:val="2"/>
        </w:rPr>
        <w:t>通综合</w:t>
      </w:r>
      <w:proofErr w:type="gramEnd"/>
      <w:r w:rsidRPr="004E4F73">
        <w:rPr>
          <w:rFonts w:cs="Times New Roman" w:hint="eastAsia"/>
          <w:kern w:val="2"/>
        </w:rPr>
        <w:t>指数收益率*10%+中</w:t>
      </w:r>
      <w:proofErr w:type="gramStart"/>
      <w:r w:rsidRPr="004E4F73">
        <w:rPr>
          <w:rFonts w:cs="Times New Roman" w:hint="eastAsia"/>
          <w:kern w:val="2"/>
        </w:rPr>
        <w:t>债综合</w:t>
      </w:r>
      <w:proofErr w:type="gramEnd"/>
      <w:r w:rsidRPr="004E4F73">
        <w:rPr>
          <w:rFonts w:cs="Times New Roman" w:hint="eastAsia"/>
          <w:kern w:val="2"/>
        </w:rPr>
        <w:t>指数收益率*40%</w:t>
      </w:r>
    </w:p>
    <w:p w14:paraId="5ECD744F" w14:textId="77777777" w:rsidR="00A4243C" w:rsidRPr="00A4243C" w:rsidRDefault="00A4243C" w:rsidP="00A4243C">
      <w:pPr>
        <w:snapToGrid w:val="0"/>
        <w:spacing w:line="360" w:lineRule="auto"/>
        <w:ind w:firstLineChars="200" w:firstLine="480"/>
        <w:rPr>
          <w:rFonts w:ascii="宋体" w:hAnsi="宋体" w:hint="eastAsia"/>
          <w:sz w:val="24"/>
        </w:rPr>
      </w:pPr>
    </w:p>
    <w:p w14:paraId="7295683A" w14:textId="77777777" w:rsidR="008A6127" w:rsidRPr="00A4243C" w:rsidRDefault="00437D9F" w:rsidP="00A4243C">
      <w:pPr>
        <w:snapToGrid w:val="0"/>
        <w:spacing w:line="360" w:lineRule="auto"/>
        <w:ind w:firstLineChars="200" w:firstLine="480"/>
        <w:rPr>
          <w:rFonts w:ascii="宋体" w:hAnsi="宋体"/>
          <w:sz w:val="24"/>
        </w:rPr>
      </w:pPr>
      <w:r w:rsidRPr="00A4243C">
        <w:rPr>
          <w:rFonts w:ascii="宋体" w:hAnsi="宋体" w:hint="eastAsia"/>
          <w:sz w:val="24"/>
        </w:rPr>
        <w:t>2、</w:t>
      </w:r>
      <w:r w:rsidRPr="00A4243C">
        <w:rPr>
          <w:rFonts w:ascii="宋体" w:hAnsi="宋体"/>
          <w:sz w:val="24"/>
        </w:rPr>
        <w:t>自基金合同生效以来基金累计净值增长率变动及其与同期业绩比较基准收益率变动的比较</w:t>
      </w:r>
    </w:p>
    <w:p w14:paraId="68CC5F0C" w14:textId="72B011E9" w:rsidR="008A6127" w:rsidRDefault="00EA216F" w:rsidP="00A36646">
      <w:pPr>
        <w:pStyle w:val="zhangjiep2"/>
        <w:rPr>
          <w:rFonts w:cs="Times New Roman"/>
          <w:kern w:val="2"/>
        </w:rPr>
      </w:pPr>
      <w:r w:rsidRPr="00FC4AA6">
        <w:rPr>
          <w:rFonts w:eastAsia="仿宋_GB2312"/>
          <w:noProof/>
          <w:color w:val="000000"/>
        </w:rPr>
        <w:drawing>
          <wp:inline distT="0" distB="0" distL="0" distR="0" wp14:anchorId="55BB0A2D" wp14:editId="61325F60">
            <wp:extent cx="5274310" cy="3000901"/>
            <wp:effectExtent l="0" t="0" r="2540" b="9525"/>
            <wp:docPr id="3" name="图片 3" descr="E:\FA\MOD\TMP\CN_51760000_007493_FB030020_20260004_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E:\FA\MOD\TMP\CN_51760000_007493_FB030020_20260004_2.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3000901"/>
                    </a:xfrm>
                    <a:prstGeom prst="rect">
                      <a:avLst/>
                    </a:prstGeom>
                    <a:noFill/>
                    <a:ln>
                      <a:noFill/>
                    </a:ln>
                  </pic:spPr>
                </pic:pic>
              </a:graphicData>
            </a:graphic>
          </wp:inline>
        </w:drawing>
      </w:r>
    </w:p>
    <w:p w14:paraId="28E08CFA" w14:textId="67AC12C0" w:rsidR="008A6127" w:rsidRDefault="00EA216F" w:rsidP="005E1594">
      <w:pPr>
        <w:pStyle w:val="biaogeleft"/>
      </w:pPr>
      <w:r w:rsidRPr="00FC4AA6">
        <w:rPr>
          <w:rFonts w:eastAsia="仿宋_GB2312"/>
          <w:noProof/>
          <w:color w:val="000000"/>
        </w:rPr>
        <w:lastRenderedPageBreak/>
        <w:drawing>
          <wp:inline distT="0" distB="0" distL="0" distR="0" wp14:anchorId="7E17A5B6" wp14:editId="3AC90B3F">
            <wp:extent cx="5274310" cy="3000901"/>
            <wp:effectExtent l="0" t="0" r="2540" b="9525"/>
            <wp:docPr id="4" name="图片 4" descr="E:\FA\MOD\TMP\CN_51760000_007493_FB030020_20260004_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E:\FA\MOD\TMP\CN_51760000_007493_FB030020_20260004_3.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4310" cy="3000901"/>
                    </a:xfrm>
                    <a:prstGeom prst="rect">
                      <a:avLst/>
                    </a:prstGeom>
                    <a:noFill/>
                    <a:ln>
                      <a:noFill/>
                    </a:ln>
                  </pic:spPr>
                </pic:pic>
              </a:graphicData>
            </a:graphic>
          </wp:inline>
        </w:drawing>
      </w:r>
    </w:p>
    <w:p w14:paraId="498D0CE4" w14:textId="77777777" w:rsidR="008A6127" w:rsidRDefault="00437D9F">
      <w:pPr>
        <w:widowControl/>
        <w:snapToGrid w:val="0"/>
        <w:spacing w:line="360" w:lineRule="auto"/>
        <w:ind w:firstLineChars="200" w:firstLine="480"/>
        <w:jc w:val="left"/>
        <w:rPr>
          <w:rFonts w:ascii="宋体" w:hAnsi="宋体" w:cs="宋体"/>
          <w:kern w:val="0"/>
          <w:sz w:val="24"/>
        </w:rPr>
      </w:pPr>
      <w:r>
        <w:rPr>
          <w:rFonts w:ascii="宋体" w:hAnsi="宋体" w:cs="宋体" w:hint="eastAsia"/>
          <w:kern w:val="0"/>
          <w:sz w:val="24"/>
        </w:rPr>
        <w:t>注：</w:t>
      </w:r>
    </w:p>
    <w:p w14:paraId="433457E7" w14:textId="77777777" w:rsidR="008A6127" w:rsidRDefault="00437D9F">
      <w:pPr>
        <w:widowControl/>
        <w:snapToGrid w:val="0"/>
        <w:spacing w:line="360" w:lineRule="auto"/>
        <w:ind w:firstLineChars="200" w:firstLine="480"/>
        <w:jc w:val="left"/>
        <w:rPr>
          <w:rFonts w:ascii="宋体" w:hAnsi="宋体" w:cs="宋体"/>
          <w:kern w:val="0"/>
          <w:sz w:val="24"/>
        </w:rPr>
      </w:pPr>
      <w:r>
        <w:rPr>
          <w:rFonts w:ascii="宋体" w:hAnsi="宋体" w:cs="宋体" w:hint="eastAsia"/>
          <w:kern w:val="0"/>
          <w:sz w:val="24"/>
        </w:rPr>
        <w:t>（1）本基金建仓期为本基金合同生效之日（2019年6月27日）起6个月。</w:t>
      </w:r>
    </w:p>
    <w:p w14:paraId="4A1D00EC" w14:textId="546B1A7E" w:rsidR="008A6127" w:rsidRDefault="00437D9F" w:rsidP="009C2403">
      <w:pPr>
        <w:widowControl/>
        <w:snapToGrid w:val="0"/>
        <w:spacing w:line="360" w:lineRule="auto"/>
        <w:ind w:firstLineChars="200" w:firstLine="480"/>
        <w:jc w:val="left"/>
        <w:rPr>
          <w:rFonts w:ascii="宋体" w:hAnsi="宋体" w:cs="宋体"/>
          <w:kern w:val="0"/>
          <w:sz w:val="24"/>
        </w:rPr>
        <w:sectPr w:rsidR="008A6127">
          <w:pgSz w:w="11906" w:h="16838"/>
          <w:pgMar w:top="1440" w:right="1800" w:bottom="1440" w:left="1800" w:header="851" w:footer="992" w:gutter="0"/>
          <w:cols w:space="720"/>
          <w:docGrid w:type="lines" w:linePitch="312"/>
        </w:sectPr>
      </w:pPr>
      <w:r>
        <w:rPr>
          <w:rFonts w:ascii="宋体" w:hAnsi="宋体" w:cs="宋体" w:hint="eastAsia"/>
          <w:kern w:val="0"/>
          <w:sz w:val="24"/>
        </w:rPr>
        <w:t>（2）</w:t>
      </w:r>
      <w:r w:rsidR="00A959D2">
        <w:rPr>
          <w:rFonts w:ascii="宋体" w:hAnsi="宋体" w:cs="宋体" w:hint="eastAsia"/>
          <w:kern w:val="0"/>
          <w:sz w:val="24"/>
        </w:rPr>
        <w:t>上图所示区间</w:t>
      </w:r>
      <w:r>
        <w:rPr>
          <w:rFonts w:ascii="宋体" w:hAnsi="宋体" w:cs="宋体" w:hint="eastAsia"/>
          <w:kern w:val="0"/>
          <w:sz w:val="24"/>
        </w:rPr>
        <w:t>本基金的业绩比较基准：沪深300指数收益率*50%+中证港股</w:t>
      </w:r>
      <w:proofErr w:type="gramStart"/>
      <w:r>
        <w:rPr>
          <w:rFonts w:ascii="宋体" w:hAnsi="宋体" w:cs="宋体" w:hint="eastAsia"/>
          <w:kern w:val="0"/>
          <w:sz w:val="24"/>
        </w:rPr>
        <w:t>通综合</w:t>
      </w:r>
      <w:proofErr w:type="gramEnd"/>
      <w:r>
        <w:rPr>
          <w:rFonts w:ascii="宋体" w:hAnsi="宋体" w:cs="宋体" w:hint="eastAsia"/>
          <w:kern w:val="0"/>
          <w:sz w:val="24"/>
        </w:rPr>
        <w:t>指数收益率*10%+中</w:t>
      </w:r>
      <w:proofErr w:type="gramStart"/>
      <w:r>
        <w:rPr>
          <w:rFonts w:ascii="宋体" w:hAnsi="宋体" w:cs="宋体" w:hint="eastAsia"/>
          <w:kern w:val="0"/>
          <w:sz w:val="24"/>
        </w:rPr>
        <w:t>债综</w:t>
      </w:r>
      <w:proofErr w:type="gramEnd"/>
      <w:r>
        <w:rPr>
          <w:rFonts w:ascii="宋体" w:hAnsi="宋体" w:cs="宋体" w:hint="eastAsia"/>
          <w:kern w:val="0"/>
          <w:sz w:val="24"/>
        </w:rPr>
        <w:t>合指数收益率*40%。</w:t>
      </w:r>
    </w:p>
    <w:p w14:paraId="55B94CED"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279" w:name="_Toc204678790"/>
      <w:r>
        <w:rPr>
          <w:rFonts w:ascii="Cambria" w:hAnsi="Cambria" w:hint="eastAsia"/>
          <w:sz w:val="32"/>
          <w:szCs w:val="32"/>
        </w:rPr>
        <w:lastRenderedPageBreak/>
        <w:t>基金的财产</w:t>
      </w:r>
      <w:bookmarkEnd w:id="258"/>
      <w:bookmarkEnd w:id="259"/>
      <w:bookmarkEnd w:id="260"/>
      <w:bookmarkEnd w:id="261"/>
      <w:bookmarkEnd w:id="262"/>
      <w:bookmarkEnd w:id="263"/>
      <w:bookmarkEnd w:id="264"/>
      <w:bookmarkEnd w:id="265"/>
      <w:bookmarkEnd w:id="272"/>
      <w:bookmarkEnd w:id="273"/>
      <w:bookmarkEnd w:id="274"/>
      <w:bookmarkEnd w:id="275"/>
      <w:bookmarkEnd w:id="276"/>
      <w:bookmarkEnd w:id="277"/>
      <w:bookmarkEnd w:id="279"/>
    </w:p>
    <w:p w14:paraId="40C90F37" w14:textId="77777777" w:rsidR="008A6127" w:rsidRDefault="00437D9F">
      <w:pPr>
        <w:snapToGrid w:val="0"/>
        <w:spacing w:line="360" w:lineRule="auto"/>
        <w:ind w:firstLineChars="200" w:firstLine="482"/>
        <w:rPr>
          <w:rFonts w:ascii="Cambria" w:hAnsi="Cambria"/>
          <w:b/>
          <w:bCs/>
          <w:sz w:val="24"/>
        </w:rPr>
      </w:pPr>
      <w:r>
        <w:rPr>
          <w:rFonts w:ascii="Cambria" w:hAnsi="Cambria" w:hint="eastAsia"/>
          <w:b/>
          <w:bCs/>
          <w:sz w:val="24"/>
        </w:rPr>
        <w:t>（一）基金资产总值</w:t>
      </w:r>
    </w:p>
    <w:p w14:paraId="7C599921" w14:textId="77777777" w:rsidR="008A6127" w:rsidRDefault="00437D9F">
      <w:pPr>
        <w:snapToGrid w:val="0"/>
        <w:spacing w:line="360" w:lineRule="auto"/>
        <w:ind w:firstLineChars="200" w:firstLine="480"/>
        <w:rPr>
          <w:rFonts w:ascii="宋体" w:hAnsi="宋体"/>
          <w:sz w:val="24"/>
        </w:rPr>
      </w:pPr>
      <w:r>
        <w:rPr>
          <w:rFonts w:ascii="宋体" w:hAnsi="宋体"/>
          <w:sz w:val="24"/>
        </w:rPr>
        <w:t>基金资产总值是指</w:t>
      </w:r>
      <w:r>
        <w:rPr>
          <w:rFonts w:ascii="宋体" w:hAnsi="宋体" w:hint="eastAsia"/>
          <w:sz w:val="24"/>
        </w:rPr>
        <w:t>基金拥有的各类有价</w:t>
      </w:r>
      <w:r>
        <w:rPr>
          <w:rFonts w:ascii="宋体" w:hAnsi="宋体"/>
          <w:sz w:val="24"/>
        </w:rPr>
        <w:t>证券及票据价值、银行存款本息和基金应收的申购基金款以及其他投资所形成的价值总和。</w:t>
      </w:r>
    </w:p>
    <w:p w14:paraId="14547343" w14:textId="77777777" w:rsidR="008A6127" w:rsidRDefault="00437D9F">
      <w:pPr>
        <w:snapToGrid w:val="0"/>
        <w:spacing w:line="360" w:lineRule="auto"/>
        <w:ind w:firstLineChars="200" w:firstLine="482"/>
        <w:rPr>
          <w:rFonts w:ascii="Cambria" w:hAnsi="Cambria"/>
          <w:b/>
          <w:bCs/>
          <w:sz w:val="24"/>
        </w:rPr>
      </w:pPr>
      <w:r>
        <w:rPr>
          <w:rFonts w:ascii="Cambria" w:hAnsi="Cambria" w:hint="eastAsia"/>
          <w:b/>
          <w:bCs/>
          <w:sz w:val="24"/>
        </w:rPr>
        <w:t>（二）基金资产净值</w:t>
      </w:r>
    </w:p>
    <w:p w14:paraId="06D696F4" w14:textId="77777777" w:rsidR="008A6127" w:rsidRDefault="00437D9F">
      <w:pPr>
        <w:snapToGrid w:val="0"/>
        <w:spacing w:line="360" w:lineRule="auto"/>
        <w:ind w:firstLineChars="200" w:firstLine="480"/>
        <w:rPr>
          <w:rFonts w:ascii="宋体" w:hAnsi="宋体"/>
          <w:sz w:val="24"/>
        </w:rPr>
      </w:pPr>
      <w:r>
        <w:rPr>
          <w:rFonts w:ascii="宋体" w:hAnsi="宋体"/>
          <w:sz w:val="24"/>
        </w:rPr>
        <w:t>基金资产净值是指基金资产总值减去基金负债后的价值。</w:t>
      </w:r>
    </w:p>
    <w:p w14:paraId="7169B84C" w14:textId="77777777" w:rsidR="008A6127" w:rsidRDefault="00437D9F">
      <w:pPr>
        <w:snapToGrid w:val="0"/>
        <w:spacing w:line="360" w:lineRule="auto"/>
        <w:ind w:firstLineChars="200" w:firstLine="482"/>
        <w:rPr>
          <w:rFonts w:ascii="Cambria" w:hAnsi="Cambria"/>
          <w:b/>
          <w:bCs/>
          <w:sz w:val="24"/>
        </w:rPr>
      </w:pPr>
      <w:r>
        <w:rPr>
          <w:rFonts w:ascii="Cambria" w:hAnsi="Cambria" w:hint="eastAsia"/>
          <w:b/>
          <w:bCs/>
          <w:sz w:val="24"/>
        </w:rPr>
        <w:t>（三）基金财产的账户</w:t>
      </w:r>
    </w:p>
    <w:p w14:paraId="7FD03B82" w14:textId="77777777" w:rsidR="008A6127" w:rsidRDefault="00437D9F">
      <w:pPr>
        <w:snapToGrid w:val="0"/>
        <w:spacing w:line="360" w:lineRule="auto"/>
        <w:ind w:firstLineChars="200" w:firstLine="480"/>
        <w:rPr>
          <w:rFonts w:ascii="宋体" w:hAnsi="宋体"/>
          <w:sz w:val="24"/>
        </w:rPr>
      </w:pPr>
      <w:r>
        <w:rPr>
          <w:rFonts w:ascii="宋体" w:hAnsi="宋体"/>
          <w:sz w:val="24"/>
        </w:rPr>
        <w:t>基金托管人根据相关法律法规、规范性文件为本基金开立资金</w:t>
      </w:r>
      <w:r>
        <w:rPr>
          <w:rFonts w:ascii="宋体" w:hAnsi="宋体" w:hint="eastAsia"/>
          <w:sz w:val="24"/>
        </w:rPr>
        <w:t>账户</w:t>
      </w:r>
      <w:r>
        <w:rPr>
          <w:rFonts w:ascii="宋体" w:hAnsi="宋体"/>
          <w:sz w:val="24"/>
        </w:rPr>
        <w:t>、证券</w:t>
      </w:r>
      <w:r>
        <w:rPr>
          <w:rFonts w:ascii="宋体" w:hAnsi="宋体" w:hint="eastAsia"/>
          <w:sz w:val="24"/>
        </w:rPr>
        <w:t>账户、期货结算账户以及投资所需的</w:t>
      </w:r>
      <w:r>
        <w:rPr>
          <w:rFonts w:ascii="宋体" w:hAnsi="宋体"/>
          <w:sz w:val="24"/>
        </w:rPr>
        <w:t>其他专用</w:t>
      </w:r>
      <w:r>
        <w:rPr>
          <w:rFonts w:ascii="宋体" w:hAnsi="宋体" w:hint="eastAsia"/>
          <w:sz w:val="24"/>
        </w:rPr>
        <w:t>账户</w:t>
      </w:r>
      <w:r>
        <w:rPr>
          <w:rFonts w:ascii="宋体" w:hAnsi="宋体"/>
          <w:sz w:val="24"/>
        </w:rPr>
        <w:t>。开立的基金专用账户与基金管理人、基金托管人、基金销售机构和基金登记机构自有的财产账户以及其他基金财产账户相独立。</w:t>
      </w:r>
      <w:bookmarkStart w:id="280" w:name="_Hlt88841837"/>
      <w:bookmarkEnd w:id="280"/>
    </w:p>
    <w:p w14:paraId="7287ECD3" w14:textId="77777777" w:rsidR="008A6127" w:rsidRDefault="00437D9F">
      <w:pPr>
        <w:snapToGrid w:val="0"/>
        <w:spacing w:line="360" w:lineRule="auto"/>
        <w:ind w:firstLineChars="200" w:firstLine="482"/>
        <w:rPr>
          <w:rFonts w:ascii="Cambria" w:hAnsi="Cambria"/>
          <w:b/>
          <w:bCs/>
          <w:sz w:val="24"/>
        </w:rPr>
      </w:pPr>
      <w:r>
        <w:rPr>
          <w:rFonts w:ascii="Cambria" w:hAnsi="Cambria" w:hint="eastAsia"/>
          <w:b/>
          <w:bCs/>
          <w:sz w:val="24"/>
        </w:rPr>
        <w:t>（四）基金财产的保管和处分</w:t>
      </w:r>
    </w:p>
    <w:p w14:paraId="63954B91" w14:textId="77777777" w:rsidR="008A6127" w:rsidRDefault="00437D9F">
      <w:pPr>
        <w:snapToGrid w:val="0"/>
        <w:spacing w:line="360" w:lineRule="auto"/>
        <w:ind w:firstLineChars="200" w:firstLine="480"/>
        <w:rPr>
          <w:rFonts w:ascii="宋体" w:hAnsi="宋体"/>
          <w:sz w:val="24"/>
        </w:rPr>
      </w:pPr>
      <w:r>
        <w:rPr>
          <w:rFonts w:ascii="宋体" w:hAnsi="宋体"/>
          <w:sz w:val="24"/>
        </w:rPr>
        <w:t>本基金财产独立于基金</w:t>
      </w:r>
      <w:r>
        <w:rPr>
          <w:rFonts w:ascii="宋体" w:hAnsi="宋体" w:hint="eastAsia"/>
          <w:sz w:val="24"/>
        </w:rPr>
        <w:t>管理人、基金托管人、证券经纪机构和基金销售</w:t>
      </w:r>
      <w:r>
        <w:rPr>
          <w:rFonts w:ascii="宋体" w:hAnsi="宋体"/>
          <w:sz w:val="24"/>
        </w:rPr>
        <w:t>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rFonts w:ascii="宋体" w:hAnsi="宋体"/>
          <w:sz w:val="24"/>
        </w:rPr>
        <w:t>律法规</w:t>
      </w:r>
      <w:proofErr w:type="gramEnd"/>
      <w:r>
        <w:rPr>
          <w:rFonts w:ascii="宋体" w:hAnsi="宋体"/>
          <w:sz w:val="24"/>
        </w:rPr>
        <w:t>和《基金合同》的规定处分外，基金财产不得被处分。</w:t>
      </w:r>
    </w:p>
    <w:p w14:paraId="7180EFAF"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ascii="宋体" w:hAnsi="宋体"/>
          <w:sz w:val="24"/>
        </w:rPr>
        <w:t>抵销</w:t>
      </w:r>
      <w:proofErr w:type="gramEnd"/>
      <w:r>
        <w:rPr>
          <w:rFonts w:ascii="宋体" w:hAnsi="宋体"/>
          <w:sz w:val="24"/>
        </w:rPr>
        <w:t>；基金管理人管理运作不同基金的基金财产所产生的债权债务不得相互</w:t>
      </w:r>
      <w:proofErr w:type="gramStart"/>
      <w:r>
        <w:rPr>
          <w:rFonts w:ascii="宋体" w:hAnsi="宋体"/>
          <w:sz w:val="24"/>
        </w:rPr>
        <w:t>抵销</w:t>
      </w:r>
      <w:proofErr w:type="gramEnd"/>
      <w:r>
        <w:rPr>
          <w:rFonts w:ascii="宋体" w:hAnsi="宋体"/>
          <w:sz w:val="24"/>
        </w:rPr>
        <w:t>。非因基金财产本身承担的债务，不得对基金财产强制执行。</w:t>
      </w:r>
    </w:p>
    <w:p w14:paraId="7A780FFF" w14:textId="77777777" w:rsidR="008A6127" w:rsidRDefault="008A6127">
      <w:pPr>
        <w:pStyle w:val="ab"/>
        <w:snapToGrid w:val="0"/>
        <w:spacing w:line="360" w:lineRule="auto"/>
        <w:ind w:firstLine="0"/>
        <w:rPr>
          <w:rFonts w:ascii="Cambria" w:hAnsi="Cambria"/>
          <w:kern w:val="0"/>
        </w:rPr>
        <w:sectPr w:rsidR="008A6127">
          <w:pgSz w:w="11906" w:h="16838"/>
          <w:pgMar w:top="1440" w:right="1800" w:bottom="1440" w:left="1800" w:header="851" w:footer="992" w:gutter="0"/>
          <w:cols w:space="720"/>
          <w:docGrid w:type="lines" w:linePitch="312"/>
        </w:sectPr>
      </w:pPr>
    </w:p>
    <w:p w14:paraId="6B0A9A8D"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281" w:name="_Toc362455188"/>
      <w:bookmarkStart w:id="282" w:name="_Toc360794413"/>
      <w:bookmarkStart w:id="283" w:name="_Toc15155"/>
      <w:bookmarkStart w:id="284" w:name="_Toc6525"/>
      <w:bookmarkStart w:id="285" w:name="_Toc24692"/>
      <w:bookmarkStart w:id="286" w:name="_Toc421532549"/>
      <w:bookmarkStart w:id="287" w:name="_Toc360794105"/>
      <w:bookmarkStart w:id="288" w:name="_Toc360793503"/>
      <w:bookmarkStart w:id="289" w:name="_Toc7601"/>
      <w:bookmarkStart w:id="290" w:name="_Toc360794521"/>
      <w:bookmarkStart w:id="291" w:name="_Toc405455128"/>
      <w:bookmarkStart w:id="292" w:name="_Toc15378"/>
      <w:bookmarkStart w:id="293" w:name="_Toc362533460"/>
      <w:bookmarkStart w:id="294" w:name="_Toc360793855"/>
      <w:bookmarkStart w:id="295" w:name="_Toc204678791"/>
      <w:r>
        <w:rPr>
          <w:rFonts w:ascii="Cambria" w:hAnsi="Cambria" w:hint="eastAsia"/>
          <w:sz w:val="32"/>
          <w:szCs w:val="32"/>
        </w:rPr>
        <w:lastRenderedPageBreak/>
        <w:t>基金资产的估值</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10D8093D"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（一）估值日</w:t>
      </w:r>
    </w:p>
    <w:p w14:paraId="4AE71FEF" w14:textId="77777777" w:rsidR="008A6127" w:rsidRDefault="00437D9F">
      <w:pPr>
        <w:snapToGrid w:val="0"/>
        <w:spacing w:line="360" w:lineRule="auto"/>
        <w:ind w:firstLineChars="200" w:firstLine="480"/>
        <w:rPr>
          <w:rFonts w:ascii="宋体" w:hAnsi="宋体"/>
          <w:sz w:val="24"/>
        </w:rPr>
      </w:pPr>
      <w:r>
        <w:rPr>
          <w:rFonts w:ascii="宋体" w:hAnsi="宋体"/>
          <w:sz w:val="24"/>
        </w:rPr>
        <w:t>本基金的估值日为本基金相关的证券交易场所的交易日以及国家法律法规规定需要对外披露基金净值的</w:t>
      </w:r>
      <w:proofErr w:type="gramStart"/>
      <w:r>
        <w:rPr>
          <w:rFonts w:ascii="宋体" w:hAnsi="宋体"/>
          <w:sz w:val="24"/>
        </w:rPr>
        <w:t>非交易</w:t>
      </w:r>
      <w:proofErr w:type="gramEnd"/>
      <w:r>
        <w:rPr>
          <w:rFonts w:ascii="宋体" w:hAnsi="宋体"/>
          <w:sz w:val="24"/>
        </w:rPr>
        <w:t>日。</w:t>
      </w:r>
    </w:p>
    <w:p w14:paraId="1FC0E533"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（二）估值对象</w:t>
      </w:r>
    </w:p>
    <w:p w14:paraId="4625930B" w14:textId="77777777" w:rsidR="008A6127" w:rsidRDefault="00437D9F">
      <w:pPr>
        <w:snapToGrid w:val="0"/>
        <w:spacing w:line="360" w:lineRule="auto"/>
        <w:ind w:firstLineChars="200" w:firstLine="480"/>
        <w:rPr>
          <w:rFonts w:ascii="宋体" w:hAnsi="宋体"/>
          <w:sz w:val="24"/>
        </w:rPr>
      </w:pPr>
      <w:r>
        <w:rPr>
          <w:rFonts w:ascii="宋体" w:hAnsi="宋体"/>
          <w:sz w:val="24"/>
        </w:rPr>
        <w:t>基金所拥有的股票</w:t>
      </w:r>
      <w:r>
        <w:rPr>
          <w:rFonts w:ascii="宋体" w:hAnsi="宋体" w:hint="eastAsia"/>
          <w:sz w:val="24"/>
        </w:rPr>
        <w:t>（含港股通标的股票</w:t>
      </w:r>
      <w:r>
        <w:rPr>
          <w:rFonts w:ascii="宋体" w:hAnsi="宋体" w:hint="eastAsia"/>
          <w:bCs/>
          <w:sz w:val="24"/>
        </w:rPr>
        <w:t>、存托凭证</w:t>
      </w:r>
      <w:r>
        <w:rPr>
          <w:rFonts w:ascii="宋体" w:hAnsi="宋体" w:hint="eastAsia"/>
          <w:sz w:val="24"/>
        </w:rPr>
        <w:t>）、</w:t>
      </w:r>
      <w:r>
        <w:rPr>
          <w:rFonts w:ascii="宋体" w:hAnsi="宋体"/>
          <w:sz w:val="24"/>
        </w:rPr>
        <w:t>债券</w:t>
      </w:r>
      <w:r>
        <w:rPr>
          <w:rFonts w:ascii="宋体" w:hAnsi="宋体" w:hint="eastAsia"/>
          <w:sz w:val="24"/>
        </w:rPr>
        <w:t>、</w:t>
      </w:r>
      <w:r>
        <w:rPr>
          <w:rFonts w:ascii="宋体" w:hAnsi="宋体"/>
          <w:sz w:val="24"/>
        </w:rPr>
        <w:t>银行存款本息、应收款项、</w:t>
      </w:r>
      <w:r>
        <w:rPr>
          <w:rFonts w:ascii="宋体" w:hAnsi="宋体" w:hint="eastAsia"/>
          <w:sz w:val="24"/>
        </w:rPr>
        <w:t>股指期货合约、</w:t>
      </w:r>
      <w:r>
        <w:rPr>
          <w:rFonts w:ascii="宋体" w:hAnsi="宋体"/>
          <w:sz w:val="24"/>
        </w:rPr>
        <w:t>其它投资等资产及负债。</w:t>
      </w:r>
    </w:p>
    <w:p w14:paraId="2A86EBB5"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（三）估值原则</w:t>
      </w:r>
    </w:p>
    <w:p w14:paraId="150D4903"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基金管理人在确定相关金融资产和金融负债的公允价值时，应符合《</w:t>
      </w:r>
      <w:r>
        <w:rPr>
          <w:rFonts w:ascii="宋体" w:hAnsi="宋体" w:hint="eastAsia"/>
          <w:sz w:val="24"/>
        </w:rPr>
        <w:t>企业会计准则》</w:t>
      </w:r>
      <w:r>
        <w:rPr>
          <w:rFonts w:ascii="宋体" w:hAnsi="宋体"/>
          <w:sz w:val="24"/>
        </w:rPr>
        <w:t>、监管部门有关规定。</w:t>
      </w:r>
    </w:p>
    <w:p w14:paraId="39B6ABC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2FE94AF6" w14:textId="77777777" w:rsidR="008A6127" w:rsidRDefault="00437D9F">
      <w:pPr>
        <w:snapToGrid w:val="0"/>
        <w:spacing w:line="360" w:lineRule="auto"/>
        <w:ind w:firstLineChars="200" w:firstLine="480"/>
        <w:rPr>
          <w:rFonts w:ascii="宋体" w:hAnsi="宋体"/>
          <w:sz w:val="24"/>
        </w:rPr>
      </w:pPr>
      <w:r>
        <w:rPr>
          <w:rFonts w:ascii="宋体" w:hAnsi="宋体"/>
          <w:sz w:val="24"/>
        </w:rPr>
        <w:t>与上述投资品种形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23ED8C65"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B2FCE0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r>
        <w:rPr>
          <w:rFonts w:ascii="宋体" w:hAnsi="宋体"/>
          <w:sz w:val="24"/>
        </w:rPr>
        <w:t>如经济环境发生重大变化或证券发行人发生影响证券价格的重大事件，使潜在估值调整对前一估值日的基金资产净值的影响在0.25%以上的，应对估值进行调整并确定公允价值。</w:t>
      </w:r>
    </w:p>
    <w:p w14:paraId="24003D30"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lastRenderedPageBreak/>
        <w:t>（四）估值方法</w:t>
      </w:r>
    </w:p>
    <w:p w14:paraId="38380F1D" w14:textId="77777777" w:rsidR="008A6127" w:rsidRDefault="00437D9F">
      <w:pPr>
        <w:snapToGrid w:val="0"/>
        <w:spacing w:line="360" w:lineRule="auto"/>
        <w:ind w:firstLineChars="200" w:firstLine="480"/>
        <w:rPr>
          <w:rFonts w:ascii="宋体" w:hAnsi="宋体"/>
          <w:sz w:val="24"/>
        </w:rPr>
      </w:pPr>
      <w:r>
        <w:rPr>
          <w:rFonts w:ascii="宋体" w:hAnsi="宋体"/>
          <w:sz w:val="24"/>
        </w:rPr>
        <w:t>1、证券交易所上市的有价证券的估值</w:t>
      </w:r>
    </w:p>
    <w:p w14:paraId="59A8999C" w14:textId="77777777" w:rsidR="008A6127" w:rsidRDefault="00437D9F">
      <w:pPr>
        <w:snapToGrid w:val="0"/>
        <w:spacing w:line="360" w:lineRule="auto"/>
        <w:ind w:firstLineChars="200" w:firstLine="480"/>
        <w:rPr>
          <w:rFonts w:ascii="宋体" w:hAnsi="宋体"/>
          <w:sz w:val="24"/>
        </w:rPr>
      </w:pPr>
      <w:r>
        <w:rPr>
          <w:rFonts w:ascii="宋体" w:hAnsi="宋体"/>
          <w:sz w:val="24"/>
        </w:rPr>
        <w:t>（1）交易所上市的有价证券（包括股票等），以其估值日在证券交易所挂牌的市价（收盘价）估值；估值日无交易的，且最近交易日后经济环境未发生重大变化</w:t>
      </w:r>
      <w:r>
        <w:rPr>
          <w:rFonts w:ascii="宋体" w:hAnsi="宋体" w:hint="eastAsia"/>
          <w:sz w:val="24"/>
        </w:rPr>
        <w:t>或</w:t>
      </w:r>
      <w:r>
        <w:rPr>
          <w:rFonts w:ascii="宋体" w:hAnsi="宋体"/>
          <w:sz w:val="24"/>
        </w:rPr>
        <w:t>证券发行机构未发生影响证券价格的重大事件的，以最近交易日的市价（收盘价）估值；如最近交易日后经济环境发生了重大变化</w:t>
      </w:r>
      <w:r>
        <w:rPr>
          <w:rFonts w:ascii="宋体" w:hAnsi="宋体" w:hint="eastAsia"/>
          <w:sz w:val="24"/>
        </w:rPr>
        <w:t>或</w:t>
      </w:r>
      <w:r>
        <w:rPr>
          <w:rFonts w:ascii="宋体" w:hAnsi="宋体"/>
          <w:sz w:val="24"/>
        </w:rPr>
        <w:t>证券发行机构发生影响证券价格的重大事件的，可参考类似投资品种的现行市价及重大变化因素，调整最近交易市价，确定公允价格。</w:t>
      </w:r>
    </w:p>
    <w:p w14:paraId="3419D9DA" w14:textId="77777777" w:rsidR="008A6127" w:rsidRDefault="00437D9F">
      <w:pPr>
        <w:snapToGrid w:val="0"/>
        <w:spacing w:line="360" w:lineRule="auto"/>
        <w:ind w:firstLineChars="200" w:firstLine="480"/>
        <w:rPr>
          <w:rFonts w:ascii="宋体" w:hAnsi="宋体"/>
          <w:sz w:val="24"/>
        </w:rPr>
      </w:pPr>
      <w:r>
        <w:rPr>
          <w:rFonts w:ascii="宋体" w:hAnsi="宋体"/>
          <w:sz w:val="24"/>
        </w:rPr>
        <w:t>（2）交易所上市交易或挂牌转让的不含</w:t>
      </w:r>
      <w:proofErr w:type="gramStart"/>
      <w:r>
        <w:rPr>
          <w:rFonts w:ascii="宋体" w:hAnsi="宋体"/>
          <w:sz w:val="24"/>
        </w:rPr>
        <w:t>权固定</w:t>
      </w:r>
      <w:proofErr w:type="gramEnd"/>
      <w:r>
        <w:rPr>
          <w:rFonts w:ascii="宋体" w:hAnsi="宋体"/>
          <w:sz w:val="24"/>
        </w:rPr>
        <w:t>收益品种，选取估值日第三方估值机构提供的相应品种当日的估值净价进行估值；</w:t>
      </w:r>
    </w:p>
    <w:p w14:paraId="5EC7546A" w14:textId="77777777" w:rsidR="008A6127" w:rsidRDefault="00437D9F">
      <w:pPr>
        <w:snapToGrid w:val="0"/>
        <w:spacing w:line="360" w:lineRule="auto"/>
        <w:ind w:firstLineChars="200" w:firstLine="480"/>
        <w:rPr>
          <w:rFonts w:ascii="宋体" w:hAnsi="宋体"/>
          <w:sz w:val="24"/>
        </w:rPr>
      </w:pPr>
      <w:r>
        <w:rPr>
          <w:rFonts w:ascii="宋体" w:hAnsi="宋体"/>
          <w:sz w:val="24"/>
        </w:rPr>
        <w:t>（3）交易所上市交易或挂牌转让的含</w:t>
      </w:r>
      <w:proofErr w:type="gramStart"/>
      <w:r>
        <w:rPr>
          <w:rFonts w:ascii="宋体" w:hAnsi="宋体"/>
          <w:sz w:val="24"/>
        </w:rPr>
        <w:t>权固定</w:t>
      </w:r>
      <w:proofErr w:type="gramEnd"/>
      <w:r>
        <w:rPr>
          <w:rFonts w:ascii="宋体" w:hAnsi="宋体"/>
          <w:sz w:val="24"/>
        </w:rPr>
        <w:t>收益品种，选取估值日第三方估值机构提供的相应品种当日的唯一估值净价或推荐估值净价进行估值；</w:t>
      </w:r>
    </w:p>
    <w:p w14:paraId="1FFE46A5" w14:textId="77777777" w:rsidR="008A6127" w:rsidRDefault="00437D9F">
      <w:pPr>
        <w:snapToGrid w:val="0"/>
        <w:spacing w:line="360" w:lineRule="auto"/>
        <w:ind w:firstLineChars="200" w:firstLine="480"/>
        <w:rPr>
          <w:rFonts w:ascii="宋体" w:hAnsi="宋体"/>
          <w:sz w:val="24"/>
        </w:rPr>
      </w:pPr>
      <w:r>
        <w:rPr>
          <w:rFonts w:ascii="宋体" w:hAnsi="宋体"/>
          <w:sz w:val="24"/>
        </w:rPr>
        <w:t>（4）交易所上市交易的可转换债券</w:t>
      </w:r>
      <w:r>
        <w:rPr>
          <w:rFonts w:ascii="宋体" w:hAnsi="宋体" w:hint="eastAsia"/>
          <w:sz w:val="24"/>
        </w:rPr>
        <w:t>以每日收盘价作为估值全价；交易所上市实行全价交易的债券（可转债除外），</w:t>
      </w:r>
      <w:r>
        <w:rPr>
          <w:rFonts w:ascii="宋体" w:hAnsi="宋体"/>
          <w:sz w:val="24"/>
        </w:rPr>
        <w:t>选取第三方估值机构提供的估值</w:t>
      </w:r>
      <w:r>
        <w:rPr>
          <w:rFonts w:ascii="宋体" w:hAnsi="宋体" w:hint="eastAsia"/>
          <w:sz w:val="24"/>
        </w:rPr>
        <w:t>全价减去</w:t>
      </w:r>
      <w:r>
        <w:rPr>
          <w:rFonts w:ascii="宋体" w:hAnsi="宋体"/>
          <w:sz w:val="24"/>
        </w:rPr>
        <w:t>估值</w:t>
      </w:r>
      <w:r>
        <w:rPr>
          <w:rFonts w:ascii="宋体" w:hAnsi="宋体" w:hint="eastAsia"/>
          <w:sz w:val="24"/>
        </w:rPr>
        <w:t>全价中所含的债券（税后）应收利息得到的</w:t>
      </w:r>
      <w:r>
        <w:rPr>
          <w:rFonts w:ascii="宋体" w:hAnsi="宋体"/>
          <w:sz w:val="24"/>
        </w:rPr>
        <w:t>净价进行估值</w:t>
      </w:r>
      <w:r>
        <w:rPr>
          <w:rFonts w:ascii="宋体" w:hAnsi="宋体" w:hint="eastAsia"/>
          <w:sz w:val="24"/>
        </w:rPr>
        <w:t>；</w:t>
      </w:r>
    </w:p>
    <w:p w14:paraId="78E8DD23"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5</w:t>
      </w:r>
      <w:r>
        <w:rPr>
          <w:rFonts w:ascii="宋体" w:hAnsi="宋体"/>
          <w:sz w:val="24"/>
        </w:rPr>
        <w:t>）交易所上市不存在活跃市场的有价证券，采用估值技术确定公允价值。</w:t>
      </w:r>
    </w:p>
    <w:p w14:paraId="18788692" w14:textId="77777777" w:rsidR="008A6127" w:rsidRDefault="00437D9F">
      <w:pPr>
        <w:snapToGrid w:val="0"/>
        <w:spacing w:line="360" w:lineRule="auto"/>
        <w:ind w:firstLineChars="200" w:firstLine="480"/>
        <w:rPr>
          <w:rFonts w:ascii="宋体" w:hAnsi="宋体"/>
          <w:sz w:val="24"/>
        </w:rPr>
      </w:pPr>
      <w:r>
        <w:rPr>
          <w:rFonts w:ascii="宋体" w:hAnsi="宋体"/>
          <w:sz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w:t>
      </w:r>
      <w:r>
        <w:rPr>
          <w:rFonts w:ascii="宋体" w:hAnsi="宋体" w:hint="eastAsia"/>
          <w:sz w:val="24"/>
        </w:rPr>
        <w:t>市场活动</w:t>
      </w:r>
      <w:r>
        <w:rPr>
          <w:rFonts w:ascii="宋体" w:hAnsi="宋体"/>
          <w:sz w:val="24"/>
        </w:rPr>
        <w:t>或市场活动很少的情况下，应采用估值技术确定其公允价值。</w:t>
      </w:r>
    </w:p>
    <w:p w14:paraId="62CF5672" w14:textId="77777777" w:rsidR="008A6127" w:rsidRDefault="00437D9F">
      <w:pPr>
        <w:snapToGrid w:val="0"/>
        <w:spacing w:line="360" w:lineRule="auto"/>
        <w:ind w:firstLineChars="200" w:firstLine="480"/>
        <w:rPr>
          <w:rFonts w:ascii="宋体" w:hAnsi="宋体"/>
          <w:sz w:val="24"/>
        </w:rPr>
      </w:pPr>
      <w:r>
        <w:rPr>
          <w:rFonts w:ascii="宋体" w:hAnsi="宋体"/>
          <w:sz w:val="24"/>
        </w:rPr>
        <w:t>2、处于未上市期间的有价证券应区分如下情况处理：</w:t>
      </w:r>
    </w:p>
    <w:p w14:paraId="47343139" w14:textId="77777777" w:rsidR="008A6127" w:rsidRDefault="00437D9F">
      <w:pPr>
        <w:snapToGrid w:val="0"/>
        <w:spacing w:line="360" w:lineRule="auto"/>
        <w:ind w:firstLineChars="200" w:firstLine="480"/>
        <w:rPr>
          <w:rFonts w:ascii="宋体" w:hAnsi="宋体"/>
          <w:sz w:val="24"/>
        </w:rPr>
      </w:pPr>
      <w:r>
        <w:rPr>
          <w:rFonts w:ascii="宋体" w:hAnsi="宋体"/>
          <w:sz w:val="24"/>
        </w:rPr>
        <w:t>（1）送股、转增股、配股和公开增发的新股，按估值日在证券交易所挂牌的同一股票的估值方法估值；该日无交易的，以最近一日的市价（收盘价）估值；</w:t>
      </w:r>
    </w:p>
    <w:p w14:paraId="3851416F" w14:textId="77777777" w:rsidR="008A6127" w:rsidRDefault="00437D9F">
      <w:pPr>
        <w:snapToGrid w:val="0"/>
        <w:spacing w:line="360" w:lineRule="auto"/>
        <w:ind w:firstLineChars="200" w:firstLine="480"/>
        <w:rPr>
          <w:rFonts w:ascii="宋体" w:hAnsi="宋体"/>
          <w:sz w:val="24"/>
        </w:rPr>
      </w:pPr>
      <w:r>
        <w:rPr>
          <w:rFonts w:ascii="宋体" w:hAnsi="宋体"/>
          <w:sz w:val="24"/>
        </w:rPr>
        <w:t>（2）首次公开发行未上市的股票、债券，采用估值技术确定公允价值，在估值技术难以可靠计量公允价值的情况下，按成本估值。</w:t>
      </w:r>
    </w:p>
    <w:p w14:paraId="2047FE1E" w14:textId="77777777" w:rsidR="008A6127" w:rsidRDefault="00437D9F">
      <w:pPr>
        <w:snapToGrid w:val="0"/>
        <w:spacing w:line="360" w:lineRule="auto"/>
        <w:ind w:firstLineChars="200" w:firstLine="480"/>
        <w:rPr>
          <w:rFonts w:ascii="宋体" w:hAnsi="宋体"/>
          <w:sz w:val="24"/>
        </w:rPr>
      </w:pPr>
      <w:r>
        <w:rPr>
          <w:rFonts w:ascii="宋体" w:hAnsi="宋体"/>
          <w:sz w:val="24"/>
        </w:rPr>
        <w:t>（3）在发行时明确一定期限限售期的股票，包括但不限于非公开发行股票、首次公开发行股票时公司股东公开发售股份、通过大宗交易取得的带限售期的股票等，不包括停牌、新发行未上市、回购交易中的质押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rFonts w:ascii="宋体" w:hAnsi="宋体"/>
          <w:sz w:val="24"/>
        </w:rPr>
        <w:t>券</w:t>
      </w:r>
      <w:proofErr w:type="gramEnd"/>
      <w:r>
        <w:rPr>
          <w:rFonts w:ascii="宋体" w:hAnsi="宋体"/>
          <w:sz w:val="24"/>
        </w:rPr>
        <w:t>等流通受限股票，按监管机构或行业协会有关规定确定公允价值。</w:t>
      </w:r>
    </w:p>
    <w:p w14:paraId="04EC809F"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w:t>
      </w:r>
      <w:r>
        <w:rPr>
          <w:rFonts w:ascii="宋体" w:hAnsi="宋体" w:hint="eastAsia"/>
          <w:sz w:val="24"/>
        </w:rPr>
        <w:t>期</w:t>
      </w:r>
      <w:r>
        <w:rPr>
          <w:rFonts w:ascii="宋体" w:hAnsi="宋体"/>
          <w:sz w:val="24"/>
        </w:rPr>
        <w:t>截止日（含当日）后未行使回售权的按照长待偿期所对应的价格进行估值。对银行间市场未上市，且第三方估值机构未提供估值价格的债券，</w:t>
      </w:r>
      <w:r>
        <w:rPr>
          <w:rFonts w:ascii="宋体" w:hAnsi="宋体" w:hint="eastAsia"/>
          <w:sz w:val="24"/>
        </w:rPr>
        <w:t>在发行利率与二级市场利率不存在明显差异</w:t>
      </w:r>
      <w:r>
        <w:rPr>
          <w:rFonts w:ascii="宋体" w:hAnsi="宋体"/>
          <w:sz w:val="24"/>
        </w:rPr>
        <w:t>，未上市期间市场利率没有发生大的变动的情况下，按成本估值。</w:t>
      </w:r>
    </w:p>
    <w:p w14:paraId="000EFE5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4、同一债券或股票同时在两个或两个以上市场交易的，按债券或股票所处的市场分别估值。</w:t>
      </w:r>
    </w:p>
    <w:p w14:paraId="5A3F703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5、同业存单按估值日第三方估值机构提供的估值净价估值；选定的第三方估值机构未提供估值价格的，按成本估值。</w:t>
      </w:r>
    </w:p>
    <w:p w14:paraId="4EC10BC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6、本基金投资股指期货合约，一般以估值当日结算价进行估值，估值当日无结算价的，且最近交易日后经济环境未发生重大变化的，采用最近交易日结算价估值。</w:t>
      </w:r>
    </w:p>
    <w:p w14:paraId="5EEDCD4C" w14:textId="77777777" w:rsidR="008A6127" w:rsidRDefault="00437D9F">
      <w:pPr>
        <w:snapToGrid w:val="0"/>
        <w:spacing w:line="360" w:lineRule="auto"/>
        <w:ind w:firstLineChars="200" w:firstLine="480"/>
        <w:rPr>
          <w:rFonts w:ascii="宋体" w:hAnsi="宋体"/>
          <w:sz w:val="24"/>
        </w:rPr>
      </w:pPr>
      <w:r>
        <w:rPr>
          <w:rFonts w:ascii="宋体" w:hAnsi="宋体"/>
          <w:sz w:val="24"/>
        </w:rPr>
        <w:t>7</w:t>
      </w:r>
      <w:r>
        <w:rPr>
          <w:rFonts w:ascii="宋体" w:hAnsi="宋体" w:hint="eastAsia"/>
          <w:sz w:val="24"/>
        </w:rPr>
        <w:t>、估值计算中涉及港币对人民币汇率的，将依据下列信息提供机构所提供的汇率为准：当日中国人民银行公布的人民币与港币的中间价。</w:t>
      </w:r>
    </w:p>
    <w:p w14:paraId="63E9CE0D" w14:textId="77777777" w:rsidR="008A6127" w:rsidRDefault="00437D9F">
      <w:pPr>
        <w:snapToGrid w:val="0"/>
        <w:spacing w:line="360" w:lineRule="auto"/>
        <w:ind w:firstLineChars="200" w:firstLine="480"/>
        <w:rPr>
          <w:rFonts w:ascii="宋体" w:hAnsi="宋体"/>
          <w:sz w:val="24"/>
        </w:rPr>
      </w:pPr>
      <w:r>
        <w:rPr>
          <w:rFonts w:ascii="宋体" w:hAnsi="宋体"/>
          <w:sz w:val="24"/>
        </w:rPr>
        <w:t>8、如有确凿证据表明按上述方法进行估值不能客观反映其公允价值的，基金管理人可根据具体情况与基金托管人商定后，按最能反映公允价值的价格估值。</w:t>
      </w:r>
    </w:p>
    <w:p w14:paraId="1B92A2B7" w14:textId="77777777" w:rsidR="008A6127" w:rsidRDefault="00437D9F">
      <w:pPr>
        <w:snapToGrid w:val="0"/>
        <w:spacing w:line="360" w:lineRule="auto"/>
        <w:ind w:firstLineChars="200" w:firstLine="480"/>
        <w:rPr>
          <w:rFonts w:ascii="宋体" w:hAnsi="宋体"/>
          <w:sz w:val="24"/>
        </w:rPr>
      </w:pPr>
      <w:r>
        <w:rPr>
          <w:rFonts w:ascii="宋体" w:hAnsi="宋体"/>
          <w:sz w:val="24"/>
        </w:rPr>
        <w:t>9、当</w:t>
      </w:r>
      <w:r>
        <w:rPr>
          <w:rFonts w:ascii="宋体" w:hAnsi="宋体" w:hint="eastAsia"/>
          <w:sz w:val="24"/>
        </w:rPr>
        <w:t>本基金</w:t>
      </w:r>
      <w:r>
        <w:rPr>
          <w:rFonts w:ascii="宋体" w:hAnsi="宋体"/>
          <w:sz w:val="24"/>
        </w:rPr>
        <w:t>发生大额申购或赎回情形时，基金管理人可以采用摆动定价机制，以确保基金估值的公平性</w:t>
      </w:r>
      <w:r>
        <w:rPr>
          <w:rFonts w:ascii="宋体" w:hAnsi="宋体" w:hint="eastAsia"/>
          <w:sz w:val="24"/>
        </w:rPr>
        <w:t>，具体处理原则与操作规范遵循相关法律法规以及监管部门、自律规则的规定</w:t>
      </w:r>
      <w:r>
        <w:rPr>
          <w:rFonts w:ascii="宋体" w:hAnsi="宋体"/>
          <w:sz w:val="24"/>
        </w:rPr>
        <w:t>。</w:t>
      </w:r>
    </w:p>
    <w:p w14:paraId="6378FFB9" w14:textId="77777777" w:rsidR="008A6127" w:rsidRDefault="00437D9F">
      <w:pPr>
        <w:snapToGrid w:val="0"/>
        <w:spacing w:line="360" w:lineRule="auto"/>
        <w:ind w:firstLineChars="200" w:firstLine="480"/>
        <w:rPr>
          <w:rFonts w:ascii="宋体" w:hAnsi="宋体"/>
          <w:sz w:val="24"/>
        </w:rPr>
      </w:pPr>
      <w:r>
        <w:rPr>
          <w:rFonts w:ascii="宋体" w:hAnsi="宋体" w:hint="eastAsia"/>
          <w:bCs/>
          <w:sz w:val="24"/>
        </w:rPr>
        <w:t>10、本基金投资存托凭证的估值核算，依照境内上市交易的股票执行。</w:t>
      </w:r>
    </w:p>
    <w:p w14:paraId="33F753B8"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1</w:t>
      </w:r>
      <w:r>
        <w:rPr>
          <w:rFonts w:ascii="宋体" w:hAnsi="宋体"/>
          <w:sz w:val="24"/>
        </w:rPr>
        <w:t>、相关法律法规以及监管部门有强制规定的，从其规定。如有新增事项，按国家最新规定估值。</w:t>
      </w:r>
    </w:p>
    <w:p w14:paraId="325388D2" w14:textId="77777777" w:rsidR="008A6127" w:rsidRDefault="00437D9F">
      <w:pPr>
        <w:snapToGrid w:val="0"/>
        <w:spacing w:line="360" w:lineRule="auto"/>
        <w:ind w:firstLineChars="200" w:firstLine="480"/>
        <w:rPr>
          <w:rFonts w:ascii="宋体" w:hAnsi="宋体"/>
          <w:sz w:val="24"/>
        </w:rPr>
      </w:pPr>
      <w:r>
        <w:rPr>
          <w:rFonts w:ascii="宋体" w:hAnsi="宋体"/>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49B4A4FF" w14:textId="77777777" w:rsidR="008A6127" w:rsidRDefault="00437D9F">
      <w:pPr>
        <w:snapToGrid w:val="0"/>
        <w:spacing w:line="360" w:lineRule="auto"/>
        <w:ind w:firstLineChars="200" w:firstLine="480"/>
        <w:rPr>
          <w:rFonts w:ascii="宋体" w:hAnsi="宋体"/>
          <w:sz w:val="24"/>
        </w:rPr>
      </w:pPr>
      <w:r>
        <w:rPr>
          <w:rFonts w:ascii="宋体" w:hAnsi="宋体"/>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w:t>
      </w:r>
      <w:r>
        <w:rPr>
          <w:rFonts w:ascii="宋体" w:hAnsi="宋体"/>
          <w:sz w:val="24"/>
        </w:rPr>
        <w:lastRenderedPageBreak/>
        <w:t>基金管理人对基金资产净值的计算结果对外予以公布。</w:t>
      </w:r>
    </w:p>
    <w:p w14:paraId="322ABA22"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（五）估值程序</w:t>
      </w:r>
    </w:p>
    <w:p w14:paraId="2C33689E"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各类</w:t>
      </w:r>
      <w:r>
        <w:rPr>
          <w:rFonts w:ascii="宋体" w:hAnsi="宋体"/>
          <w:sz w:val="24"/>
        </w:rPr>
        <w:t>基金份额净值是按照每个工作日闭市后，</w:t>
      </w:r>
      <w:r>
        <w:rPr>
          <w:rFonts w:ascii="宋体" w:hAnsi="宋体" w:hint="eastAsia"/>
          <w:sz w:val="24"/>
        </w:rPr>
        <w:t>该类</w:t>
      </w:r>
      <w:r>
        <w:rPr>
          <w:rFonts w:ascii="宋体" w:hAnsi="宋体"/>
          <w:sz w:val="24"/>
        </w:rPr>
        <w:t>基金资产净值除以当日</w:t>
      </w:r>
      <w:r>
        <w:rPr>
          <w:rFonts w:ascii="宋体" w:hAnsi="宋体" w:hint="eastAsia"/>
          <w:sz w:val="24"/>
        </w:rPr>
        <w:t>该类</w:t>
      </w:r>
      <w:r>
        <w:rPr>
          <w:rFonts w:ascii="宋体" w:hAnsi="宋体"/>
          <w:sz w:val="24"/>
        </w:rPr>
        <w:t>基金份额的余额数量计算，精确到</w:t>
      </w:r>
      <w:r>
        <w:rPr>
          <w:rFonts w:ascii="宋体" w:hAnsi="宋体" w:hint="eastAsia"/>
          <w:sz w:val="24"/>
        </w:rPr>
        <w:t>0.0001</w:t>
      </w:r>
      <w:r>
        <w:rPr>
          <w:rFonts w:ascii="宋体" w:hAnsi="宋体"/>
          <w:sz w:val="24"/>
        </w:rPr>
        <w:t>元，小数点后第</w:t>
      </w:r>
      <w:r>
        <w:rPr>
          <w:rFonts w:ascii="宋体" w:hAnsi="宋体" w:hint="eastAsia"/>
          <w:sz w:val="24"/>
        </w:rPr>
        <w:t>5</w:t>
      </w:r>
      <w:r>
        <w:rPr>
          <w:rFonts w:ascii="宋体" w:hAnsi="宋体"/>
          <w:sz w:val="24"/>
        </w:rPr>
        <w:t>位四舍五入</w:t>
      </w:r>
      <w:r>
        <w:rPr>
          <w:rFonts w:ascii="宋体" w:hAnsi="宋体" w:hint="eastAsia"/>
          <w:sz w:val="24"/>
        </w:rPr>
        <w:t>，由此产生的收益或损失由基金财产承担。基金管理人可以设立大额赎回情形下的净值精度应急调整机制。</w:t>
      </w:r>
      <w:r>
        <w:rPr>
          <w:rFonts w:ascii="宋体" w:hAnsi="宋体"/>
          <w:sz w:val="24"/>
        </w:rPr>
        <w:t>国家另有规定的，从其规定。</w:t>
      </w:r>
    </w:p>
    <w:p w14:paraId="4B414D1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w:t>
      </w:r>
      <w:proofErr w:type="gramStart"/>
      <w:r>
        <w:rPr>
          <w:rFonts w:ascii="宋体" w:hAnsi="宋体" w:hint="eastAsia"/>
          <w:sz w:val="24"/>
        </w:rPr>
        <w:t>应每个</w:t>
      </w:r>
      <w:proofErr w:type="gramEnd"/>
      <w:r>
        <w:rPr>
          <w:rFonts w:ascii="宋体" w:hAnsi="宋体" w:hint="eastAsia"/>
          <w:sz w:val="24"/>
        </w:rPr>
        <w:t>工作日计算基金</w:t>
      </w:r>
      <w:r>
        <w:rPr>
          <w:rFonts w:ascii="宋体" w:hAnsi="宋体"/>
          <w:sz w:val="24"/>
        </w:rPr>
        <w:t>资产净值及</w:t>
      </w:r>
      <w:r>
        <w:rPr>
          <w:rFonts w:ascii="宋体" w:hAnsi="宋体" w:hint="eastAsia"/>
          <w:sz w:val="24"/>
        </w:rPr>
        <w:t>各类别</w:t>
      </w:r>
      <w:r>
        <w:rPr>
          <w:rFonts w:ascii="宋体" w:hAnsi="宋体"/>
          <w:sz w:val="24"/>
        </w:rPr>
        <w:t>基金份额净值，并按规定公告。</w:t>
      </w:r>
    </w:p>
    <w:p w14:paraId="23364C96" w14:textId="77777777" w:rsidR="008A6127" w:rsidRDefault="00437D9F">
      <w:pPr>
        <w:snapToGrid w:val="0"/>
        <w:spacing w:line="360" w:lineRule="auto"/>
        <w:ind w:firstLineChars="200" w:firstLine="480"/>
        <w:rPr>
          <w:rFonts w:ascii="宋体" w:hAnsi="宋体"/>
          <w:sz w:val="24"/>
        </w:rPr>
      </w:pPr>
      <w:r>
        <w:rPr>
          <w:rFonts w:ascii="宋体" w:hAnsi="宋体"/>
          <w:sz w:val="24"/>
        </w:rPr>
        <w:t>2、基金管理人</w:t>
      </w:r>
      <w:proofErr w:type="gramStart"/>
      <w:r>
        <w:rPr>
          <w:rFonts w:ascii="宋体" w:hAnsi="宋体"/>
          <w:sz w:val="24"/>
        </w:rPr>
        <w:t>应每个</w:t>
      </w:r>
      <w:proofErr w:type="gramEnd"/>
      <w:r>
        <w:rPr>
          <w:rFonts w:ascii="宋体" w:hAnsi="宋体"/>
          <w:sz w:val="24"/>
        </w:rPr>
        <w:t>工作日对基金资产估值。但基金管理人根据法律法规或基金合同的规定暂停估值时除外。基金管理人每个工作日对基金资产估值后，将</w:t>
      </w:r>
      <w:bookmarkStart w:id="296" w:name="_Hlk2862289"/>
      <w:r>
        <w:rPr>
          <w:rFonts w:ascii="宋体" w:hAnsi="宋体" w:hint="eastAsia"/>
          <w:sz w:val="24"/>
        </w:rPr>
        <w:t>各类别基金份额净值结果</w:t>
      </w:r>
      <w:bookmarkEnd w:id="296"/>
      <w:r>
        <w:rPr>
          <w:rFonts w:ascii="宋体" w:hAnsi="宋体"/>
          <w:sz w:val="24"/>
        </w:rPr>
        <w:t>发送基金托管人，经基金托管人复核无误后，由基金管理人对外公布。</w:t>
      </w:r>
    </w:p>
    <w:p w14:paraId="7524CDF0"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（六）估值错误的处理</w:t>
      </w:r>
    </w:p>
    <w:p w14:paraId="1FFD59EA"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基金管理人和基金托管人将采取必要、适当、合理的措施确保基金资产估值的准确性、及时性。当</w:t>
      </w:r>
      <w:r>
        <w:rPr>
          <w:rFonts w:ascii="宋体" w:hAnsi="宋体" w:hint="eastAsia"/>
          <w:sz w:val="24"/>
        </w:rPr>
        <w:t>某一类别</w:t>
      </w:r>
      <w:r>
        <w:rPr>
          <w:rFonts w:ascii="宋体" w:hAnsi="宋体"/>
          <w:sz w:val="24"/>
        </w:rPr>
        <w:t>基金份额净值小数点后</w:t>
      </w:r>
      <w:r>
        <w:rPr>
          <w:rFonts w:ascii="宋体" w:hAnsi="宋体" w:hint="eastAsia"/>
          <w:sz w:val="24"/>
        </w:rPr>
        <w:t>4</w:t>
      </w:r>
      <w:r>
        <w:rPr>
          <w:rFonts w:ascii="宋体" w:hAnsi="宋体"/>
          <w:sz w:val="24"/>
        </w:rPr>
        <w:t>位以内(含第</w:t>
      </w:r>
      <w:r>
        <w:rPr>
          <w:rFonts w:ascii="宋体" w:hAnsi="宋体" w:hint="eastAsia"/>
          <w:sz w:val="24"/>
        </w:rPr>
        <w:t>4</w:t>
      </w:r>
      <w:r>
        <w:rPr>
          <w:rFonts w:ascii="宋体" w:hAnsi="宋体"/>
          <w:sz w:val="24"/>
        </w:rPr>
        <w:t>位)发生估值错误时，视为</w:t>
      </w:r>
      <w:r>
        <w:rPr>
          <w:rFonts w:ascii="宋体" w:hAnsi="宋体" w:hint="eastAsia"/>
          <w:sz w:val="24"/>
        </w:rPr>
        <w:t>该类别</w:t>
      </w:r>
      <w:r>
        <w:rPr>
          <w:rFonts w:ascii="宋体" w:hAnsi="宋体"/>
          <w:sz w:val="24"/>
        </w:rPr>
        <w:t>基金份额净值错误。</w:t>
      </w:r>
    </w:p>
    <w:p w14:paraId="556F24DF" w14:textId="77777777" w:rsidR="008A6127" w:rsidRDefault="00437D9F">
      <w:pPr>
        <w:snapToGrid w:val="0"/>
        <w:spacing w:line="360" w:lineRule="auto"/>
        <w:ind w:firstLineChars="200" w:firstLine="480"/>
        <w:rPr>
          <w:rFonts w:ascii="宋体" w:hAnsi="宋体"/>
          <w:sz w:val="24"/>
        </w:rPr>
      </w:pPr>
      <w:r>
        <w:rPr>
          <w:rFonts w:ascii="宋体" w:hAnsi="宋体"/>
          <w:sz w:val="24"/>
        </w:rPr>
        <w:t>基金合同的当事人应按照以下约定处理：</w:t>
      </w:r>
    </w:p>
    <w:p w14:paraId="23E66810" w14:textId="77777777" w:rsidR="008A6127" w:rsidRDefault="00437D9F">
      <w:pPr>
        <w:snapToGrid w:val="0"/>
        <w:spacing w:line="360" w:lineRule="auto"/>
        <w:ind w:firstLineChars="200" w:firstLine="480"/>
        <w:rPr>
          <w:rFonts w:ascii="宋体" w:hAnsi="宋体"/>
          <w:sz w:val="24"/>
        </w:rPr>
      </w:pPr>
      <w:r>
        <w:rPr>
          <w:rFonts w:ascii="宋体" w:hAnsi="宋体"/>
          <w:sz w:val="24"/>
        </w:rPr>
        <w:t>1、估值错误类型</w:t>
      </w:r>
    </w:p>
    <w:p w14:paraId="5932FA9D" w14:textId="77777777" w:rsidR="008A6127" w:rsidRDefault="00437D9F">
      <w:pPr>
        <w:snapToGrid w:val="0"/>
        <w:spacing w:line="360" w:lineRule="auto"/>
        <w:ind w:firstLineChars="200" w:firstLine="480"/>
        <w:rPr>
          <w:rFonts w:ascii="宋体" w:hAnsi="宋体"/>
          <w:sz w:val="24"/>
        </w:rPr>
      </w:pPr>
      <w:r>
        <w:rPr>
          <w:rFonts w:ascii="宋体" w:hAnsi="宋体"/>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13C539D8" w14:textId="77777777" w:rsidR="008A6127" w:rsidRDefault="00437D9F">
      <w:pPr>
        <w:snapToGrid w:val="0"/>
        <w:spacing w:line="360" w:lineRule="auto"/>
        <w:ind w:firstLineChars="200" w:firstLine="480"/>
        <w:rPr>
          <w:rFonts w:ascii="宋体" w:hAnsi="宋体"/>
          <w:sz w:val="24"/>
        </w:rPr>
      </w:pPr>
      <w:r>
        <w:rPr>
          <w:rFonts w:ascii="宋体" w:hAnsi="宋体"/>
          <w:sz w:val="24"/>
        </w:rPr>
        <w:t>上述估值错误的主要类型包括但不限于：资料申报差错、数据传输差错、数据计算差错、系统故障差错、下达指令差错等。</w:t>
      </w:r>
    </w:p>
    <w:p w14:paraId="1048E106" w14:textId="77777777" w:rsidR="008A6127" w:rsidRDefault="00437D9F">
      <w:pPr>
        <w:snapToGrid w:val="0"/>
        <w:spacing w:line="360" w:lineRule="auto"/>
        <w:ind w:firstLineChars="200" w:firstLine="480"/>
        <w:rPr>
          <w:rFonts w:ascii="宋体" w:hAnsi="宋体"/>
          <w:sz w:val="24"/>
        </w:rPr>
      </w:pPr>
      <w:r>
        <w:rPr>
          <w:rFonts w:ascii="宋体" w:hAnsi="宋体"/>
          <w:sz w:val="24"/>
        </w:rPr>
        <w:t>2、估值错误处理原则</w:t>
      </w:r>
    </w:p>
    <w:p w14:paraId="56ED5694" w14:textId="77777777" w:rsidR="008A6127" w:rsidRDefault="00437D9F">
      <w:pPr>
        <w:snapToGrid w:val="0"/>
        <w:spacing w:line="360" w:lineRule="auto"/>
        <w:ind w:firstLineChars="200" w:firstLine="480"/>
        <w:rPr>
          <w:rFonts w:ascii="宋体" w:hAnsi="宋体"/>
          <w:sz w:val="24"/>
        </w:rPr>
      </w:pPr>
      <w:r>
        <w:rPr>
          <w:rFonts w:ascii="宋体" w:hAnsi="宋体"/>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w:t>
      </w:r>
      <w:r>
        <w:rPr>
          <w:rFonts w:ascii="宋体" w:hAnsi="宋体"/>
          <w:sz w:val="24"/>
        </w:rPr>
        <w:lastRenderedPageBreak/>
        <w:t>任。估值错误责任方应对更正的情况向有关当事人进行确认，确保估值错误已得到更正。</w:t>
      </w:r>
    </w:p>
    <w:p w14:paraId="6A1F5CD5"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2</w:t>
      </w:r>
      <w:r>
        <w:rPr>
          <w:rFonts w:ascii="宋体" w:hAnsi="宋体"/>
          <w:sz w:val="24"/>
        </w:rPr>
        <w:t>）估值错误的责任方对有关当事人的直接损失负责，不对间接损失负责，并且仅对估值错误的有关直接当事人负责，不对第三方负责。</w:t>
      </w:r>
    </w:p>
    <w:p w14:paraId="503934E4"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3</w:t>
      </w:r>
      <w:r>
        <w:rPr>
          <w:rFonts w:ascii="宋体" w:hAnsi="宋体"/>
          <w:sz w:val="24"/>
        </w:rPr>
        <w:t>）因估值错误而获得不当得利的当事人负有及时返还不当得利的义务。但估值错误责任方仍应对估值错误负责。如果由于获得不当得利的当事人</w:t>
      </w:r>
      <w:proofErr w:type="gramStart"/>
      <w:r>
        <w:rPr>
          <w:rFonts w:ascii="宋体" w:hAnsi="宋体"/>
          <w:sz w:val="24"/>
        </w:rPr>
        <w:t>不</w:t>
      </w:r>
      <w:proofErr w:type="gramEnd"/>
      <w:r>
        <w:rPr>
          <w:rFonts w:ascii="宋体" w:hAnsi="宋体"/>
          <w:sz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3DAEDCAE"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4</w:t>
      </w:r>
      <w:r>
        <w:rPr>
          <w:rFonts w:ascii="宋体" w:hAnsi="宋体"/>
          <w:sz w:val="24"/>
        </w:rPr>
        <w:t>）估值错误调整采用尽量恢复至假设未发生估值错误的正确情形的方式。</w:t>
      </w:r>
    </w:p>
    <w:p w14:paraId="7854CE7B" w14:textId="77777777" w:rsidR="008A6127" w:rsidRDefault="00437D9F">
      <w:pPr>
        <w:snapToGrid w:val="0"/>
        <w:spacing w:line="360" w:lineRule="auto"/>
        <w:ind w:firstLineChars="200" w:firstLine="480"/>
        <w:rPr>
          <w:rFonts w:ascii="宋体" w:hAnsi="宋体"/>
          <w:sz w:val="24"/>
        </w:rPr>
      </w:pPr>
      <w:r>
        <w:rPr>
          <w:rFonts w:ascii="宋体" w:hAnsi="宋体"/>
          <w:sz w:val="24"/>
        </w:rPr>
        <w:t>3、估值错误处理程序</w:t>
      </w:r>
    </w:p>
    <w:p w14:paraId="68824BA1" w14:textId="77777777" w:rsidR="008A6127" w:rsidRDefault="00437D9F">
      <w:pPr>
        <w:snapToGrid w:val="0"/>
        <w:spacing w:line="360" w:lineRule="auto"/>
        <w:ind w:firstLineChars="200" w:firstLine="480"/>
        <w:rPr>
          <w:rFonts w:ascii="宋体" w:hAnsi="宋体"/>
          <w:sz w:val="24"/>
        </w:rPr>
      </w:pPr>
      <w:r>
        <w:rPr>
          <w:rFonts w:ascii="宋体" w:hAnsi="宋体"/>
          <w:sz w:val="24"/>
        </w:rPr>
        <w:t>估值错误被发现后，有关的当事人应当及时进行处理，处理的程序如下：</w:t>
      </w:r>
    </w:p>
    <w:p w14:paraId="699C3E92" w14:textId="77777777" w:rsidR="008A6127" w:rsidRDefault="00437D9F">
      <w:pPr>
        <w:snapToGrid w:val="0"/>
        <w:spacing w:line="360" w:lineRule="auto"/>
        <w:ind w:firstLineChars="200" w:firstLine="480"/>
        <w:rPr>
          <w:rFonts w:ascii="宋体" w:hAnsi="宋体"/>
          <w:sz w:val="24"/>
        </w:rPr>
      </w:pPr>
      <w:r>
        <w:rPr>
          <w:rFonts w:ascii="宋体" w:hAnsi="宋体"/>
          <w:sz w:val="24"/>
        </w:rPr>
        <w:t>（1）查明估值错误发生的原因，列明所有的当事人，并根据估值错误发生的原因确定估值错误的责任方；</w:t>
      </w:r>
    </w:p>
    <w:p w14:paraId="2A195423"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2</w:t>
      </w:r>
      <w:r>
        <w:rPr>
          <w:rFonts w:ascii="宋体" w:hAnsi="宋体"/>
          <w:sz w:val="24"/>
        </w:rPr>
        <w:t>）根据估值错误处理原则或当事人协商的方法对因估值错误造成的损失进行评估；</w:t>
      </w:r>
    </w:p>
    <w:p w14:paraId="28BD882D"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3</w:t>
      </w:r>
      <w:r>
        <w:rPr>
          <w:rFonts w:ascii="宋体" w:hAnsi="宋体"/>
          <w:sz w:val="24"/>
        </w:rPr>
        <w:t>）根据估值错误处理原则或当事人协商的方法由估值错误的责任方进行更正和赔偿损失；</w:t>
      </w:r>
    </w:p>
    <w:p w14:paraId="0A1DE870"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4</w:t>
      </w:r>
      <w:r>
        <w:rPr>
          <w:rFonts w:ascii="宋体" w:hAnsi="宋体"/>
          <w:sz w:val="24"/>
        </w:rPr>
        <w:t>）根据估值错误处理的方法，需要修改基金登记机构交易数据的，由基金登记机构进行更正，并就估值错误的更正向有关当事人进行确认。</w:t>
      </w:r>
    </w:p>
    <w:p w14:paraId="386ACC1B" w14:textId="77777777" w:rsidR="008A6127" w:rsidRDefault="00437D9F">
      <w:pPr>
        <w:snapToGrid w:val="0"/>
        <w:spacing w:line="360" w:lineRule="auto"/>
        <w:ind w:firstLineChars="200" w:firstLine="480"/>
        <w:rPr>
          <w:rFonts w:ascii="宋体" w:hAnsi="宋体"/>
          <w:sz w:val="24"/>
        </w:rPr>
      </w:pPr>
      <w:r>
        <w:rPr>
          <w:rFonts w:ascii="宋体" w:hAnsi="宋体"/>
          <w:sz w:val="24"/>
        </w:rPr>
        <w:t>4、基金份额净值估值错误处理的方法如下：</w:t>
      </w:r>
    </w:p>
    <w:p w14:paraId="74250338" w14:textId="77777777" w:rsidR="008A6127" w:rsidRDefault="00437D9F">
      <w:pPr>
        <w:snapToGrid w:val="0"/>
        <w:spacing w:line="360" w:lineRule="auto"/>
        <w:ind w:firstLineChars="200" w:firstLine="480"/>
        <w:rPr>
          <w:rFonts w:ascii="宋体" w:hAnsi="宋体"/>
          <w:sz w:val="24"/>
        </w:rPr>
      </w:pPr>
      <w:r>
        <w:rPr>
          <w:rFonts w:ascii="宋体" w:hAnsi="宋体"/>
          <w:sz w:val="24"/>
        </w:rPr>
        <w:t>（1）基金份额净值计算出现错误时，基金管理人应当立即予以纠正，通报基金托管人，并采取合理的措施防止损失进一步扩大。</w:t>
      </w:r>
    </w:p>
    <w:p w14:paraId="4AF96C43"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2</w:t>
      </w:r>
      <w:r>
        <w:rPr>
          <w:rFonts w:ascii="宋体" w:hAnsi="宋体"/>
          <w:sz w:val="24"/>
        </w:rPr>
        <w:t>）错误偏差达到</w:t>
      </w:r>
      <w:r>
        <w:rPr>
          <w:rFonts w:ascii="宋体" w:hAnsi="宋体" w:hint="eastAsia"/>
          <w:sz w:val="24"/>
        </w:rPr>
        <w:t>该类</w:t>
      </w:r>
      <w:r>
        <w:rPr>
          <w:rFonts w:ascii="宋体" w:hAnsi="宋体"/>
          <w:sz w:val="24"/>
        </w:rPr>
        <w:t>基金份额净值的0.25%时，基金管理人应当通报基金托管人并报中国证监会备案；错误偏差达到</w:t>
      </w:r>
      <w:r>
        <w:rPr>
          <w:rFonts w:ascii="宋体" w:hAnsi="宋体" w:hint="eastAsia"/>
          <w:sz w:val="24"/>
        </w:rPr>
        <w:t>该类</w:t>
      </w:r>
      <w:r>
        <w:rPr>
          <w:rFonts w:ascii="宋体" w:hAnsi="宋体"/>
          <w:sz w:val="24"/>
        </w:rPr>
        <w:t>基金份额净值的0.5%时，基金管理人应当公告，并报中国证监会备案。</w:t>
      </w:r>
    </w:p>
    <w:p w14:paraId="5DBB15F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3</w:t>
      </w:r>
      <w:r>
        <w:rPr>
          <w:rFonts w:ascii="宋体" w:hAnsi="宋体" w:hint="eastAsia"/>
          <w:sz w:val="24"/>
        </w:rPr>
        <w:t>）当基金份额净值计算差错给基金和基金份额持有人造成损失需要进行赔偿时，基金管理人和基金托管人应根据实际情况界定双方承担的责任，经确认</w:t>
      </w:r>
      <w:r>
        <w:rPr>
          <w:rFonts w:ascii="宋体" w:hAnsi="宋体" w:hint="eastAsia"/>
          <w:sz w:val="24"/>
        </w:rPr>
        <w:lastRenderedPageBreak/>
        <w:t>后按以下条款进行赔偿：</w:t>
      </w:r>
    </w:p>
    <w:p w14:paraId="6D4767F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14:paraId="676C85D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②</w:t>
      </w:r>
      <w:proofErr w:type="gramStart"/>
      <w:r>
        <w:rPr>
          <w:rFonts w:ascii="宋体" w:hAnsi="宋体" w:hint="eastAsia"/>
          <w:sz w:val="24"/>
        </w:rPr>
        <w:t>若基金</w:t>
      </w:r>
      <w:proofErr w:type="gramEnd"/>
      <w:r>
        <w:rPr>
          <w:rFonts w:ascii="宋体" w:hAnsi="宋体" w:hint="eastAsia"/>
          <w:sz w:val="24"/>
        </w:rPr>
        <w:t>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14:paraId="495830F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③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14:paraId="575C8B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 xml:space="preserve">④由于基金管理人提供的信息错误（包括但不限于基金申购或赎回金额等），进而导致基金份额净值计算错误而引起的基金份额持有人和基金财产的损失，由基金管理人负责赔付。 </w:t>
      </w:r>
    </w:p>
    <w:p w14:paraId="1471663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4</w:t>
      </w:r>
      <w:r>
        <w:rPr>
          <w:rFonts w:ascii="宋体" w:hAnsi="宋体" w:hint="eastAsia"/>
          <w:sz w:val="24"/>
        </w:rPr>
        <w:t>）前述内容如法律法规或监管机关另有规定的，从其规定处理。如果行业有通行做法，在不违背法律法规且不损害投资者利益的前提下，基金管理人与基金托管人应本着平等和保护基金份额持有人利益的原则重新协商确定处理原则。</w:t>
      </w:r>
    </w:p>
    <w:p w14:paraId="5D6AC7EF"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（七）暂停估值的情形</w:t>
      </w:r>
    </w:p>
    <w:p w14:paraId="6484FD01" w14:textId="77777777" w:rsidR="008A6127" w:rsidRDefault="00437D9F">
      <w:pPr>
        <w:snapToGrid w:val="0"/>
        <w:spacing w:line="360" w:lineRule="auto"/>
        <w:ind w:firstLineChars="200" w:firstLine="480"/>
        <w:rPr>
          <w:rFonts w:ascii="宋体" w:hAnsi="宋体"/>
          <w:sz w:val="24"/>
        </w:rPr>
      </w:pPr>
      <w:r>
        <w:rPr>
          <w:rFonts w:ascii="宋体" w:hAnsi="宋体"/>
          <w:sz w:val="24"/>
        </w:rPr>
        <w:t>1、基金投资所涉及的证券</w:t>
      </w:r>
      <w:r>
        <w:rPr>
          <w:rFonts w:ascii="宋体" w:hAnsi="宋体" w:hint="eastAsia"/>
          <w:sz w:val="24"/>
        </w:rPr>
        <w:t>/期货</w:t>
      </w:r>
      <w:r>
        <w:rPr>
          <w:rFonts w:ascii="宋体" w:hAnsi="宋体"/>
          <w:sz w:val="24"/>
        </w:rPr>
        <w:t>交易市场遇法定节假日或因其他原因暂停营业时；</w:t>
      </w:r>
    </w:p>
    <w:p w14:paraId="5CEAFFC1" w14:textId="77777777" w:rsidR="008A6127" w:rsidRDefault="00437D9F">
      <w:pPr>
        <w:snapToGrid w:val="0"/>
        <w:spacing w:line="360" w:lineRule="auto"/>
        <w:ind w:firstLineChars="200" w:firstLine="480"/>
        <w:rPr>
          <w:rFonts w:ascii="宋体" w:hAnsi="宋体"/>
          <w:sz w:val="24"/>
        </w:rPr>
      </w:pPr>
      <w:r>
        <w:rPr>
          <w:rFonts w:ascii="宋体" w:hAnsi="宋体"/>
          <w:sz w:val="24"/>
        </w:rPr>
        <w:t>2、因不可抗力致使基金管理人、基金托管人无法准确评估基金资产价值时；</w:t>
      </w:r>
    </w:p>
    <w:p w14:paraId="3E627AA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r>
        <w:rPr>
          <w:rFonts w:ascii="宋体" w:hAnsi="宋体"/>
          <w:sz w:val="24"/>
        </w:rPr>
        <w:t>当前一估值日基金资产净值 50%以上的资产出现无可参考的活跃市场价格且采用估值技术</w:t>
      </w:r>
      <w:proofErr w:type="gramStart"/>
      <w:r>
        <w:rPr>
          <w:rFonts w:ascii="宋体" w:hAnsi="宋体"/>
          <w:sz w:val="24"/>
        </w:rPr>
        <w:t>仍导致</w:t>
      </w:r>
      <w:proofErr w:type="gramEnd"/>
      <w:r>
        <w:rPr>
          <w:rFonts w:ascii="宋体" w:hAnsi="宋体"/>
          <w:sz w:val="24"/>
        </w:rPr>
        <w:t>公允价值存在重大不确定性时，经与基金托管人协商确认后，基金管理人应当暂停估值</w:t>
      </w:r>
      <w:r>
        <w:rPr>
          <w:rFonts w:ascii="宋体" w:hAnsi="宋体" w:hint="eastAsia"/>
          <w:sz w:val="24"/>
        </w:rPr>
        <w:t>；</w:t>
      </w:r>
    </w:p>
    <w:p w14:paraId="63078BC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w:t>
      </w:r>
      <w:r>
        <w:rPr>
          <w:rFonts w:ascii="宋体" w:hAnsi="宋体" w:hint="eastAsia"/>
          <w:sz w:val="24"/>
        </w:rPr>
        <w:t>法律法规、</w:t>
      </w:r>
      <w:r>
        <w:rPr>
          <w:rFonts w:ascii="宋体" w:hAnsi="宋体"/>
          <w:sz w:val="24"/>
        </w:rPr>
        <w:t>中国证监会和基金合同认定的其它情形。</w:t>
      </w:r>
    </w:p>
    <w:p w14:paraId="338AB6A6"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（八）基金净值的确认</w:t>
      </w:r>
    </w:p>
    <w:p w14:paraId="6B8DD837" w14:textId="77777777" w:rsidR="008A6127" w:rsidRDefault="00437D9F">
      <w:pPr>
        <w:snapToGrid w:val="0"/>
        <w:spacing w:line="360" w:lineRule="auto"/>
        <w:ind w:firstLineChars="200" w:firstLine="480"/>
        <w:rPr>
          <w:rFonts w:ascii="宋体" w:hAnsi="宋体"/>
          <w:sz w:val="24"/>
        </w:rPr>
      </w:pPr>
      <w:r>
        <w:rPr>
          <w:rFonts w:ascii="宋体" w:hAnsi="宋体"/>
          <w:sz w:val="24"/>
        </w:rPr>
        <w:t>用于基金信息披露的基金资产净值和</w:t>
      </w:r>
      <w:r>
        <w:rPr>
          <w:rFonts w:ascii="宋体" w:hAnsi="宋体" w:hint="eastAsia"/>
          <w:sz w:val="24"/>
        </w:rPr>
        <w:t>各类别</w:t>
      </w:r>
      <w:r>
        <w:rPr>
          <w:rFonts w:ascii="宋体" w:hAnsi="宋体"/>
          <w:sz w:val="24"/>
        </w:rPr>
        <w:t>基金份额净值由基金管理人负责计算，基金托管人负责进行复核。基金管理人应于每个开放日交易结束后计算</w:t>
      </w:r>
      <w:r>
        <w:rPr>
          <w:rFonts w:ascii="宋体" w:hAnsi="宋体"/>
          <w:sz w:val="24"/>
        </w:rPr>
        <w:lastRenderedPageBreak/>
        <w:t>当日的基金资产净值和</w:t>
      </w:r>
      <w:r>
        <w:rPr>
          <w:rFonts w:ascii="宋体" w:hAnsi="宋体" w:hint="eastAsia"/>
          <w:sz w:val="24"/>
        </w:rPr>
        <w:t>各类别</w:t>
      </w:r>
      <w:r>
        <w:rPr>
          <w:rFonts w:ascii="宋体" w:hAnsi="宋体"/>
          <w:sz w:val="24"/>
        </w:rPr>
        <w:t>基金份额净值并发送给基金托管人。基金托管人对净值计算结果复核确认后发送给基金管理人，由基金管理人对基金净值予以公布。</w:t>
      </w:r>
    </w:p>
    <w:p w14:paraId="3BACB4FC" w14:textId="77777777" w:rsidR="008A6127" w:rsidRDefault="00437D9F">
      <w:pPr>
        <w:snapToGrid w:val="0"/>
        <w:spacing w:line="360" w:lineRule="auto"/>
        <w:ind w:firstLineChars="200" w:firstLine="482"/>
        <w:rPr>
          <w:rFonts w:ascii="宋体" w:hAnsi="宋体"/>
          <w:b/>
          <w:bCs/>
          <w:sz w:val="24"/>
        </w:rPr>
      </w:pPr>
      <w:r>
        <w:rPr>
          <w:rFonts w:ascii="宋体" w:hAnsi="宋体" w:hint="eastAsia"/>
          <w:b/>
          <w:bCs/>
          <w:sz w:val="24"/>
        </w:rPr>
        <w:t>（九）特殊情形的处理</w:t>
      </w:r>
    </w:p>
    <w:p w14:paraId="6BA7FCE3"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、基金管理人或基金托管人按本部分第四条有关估值方法规定的第</w:t>
      </w:r>
      <w:r>
        <w:rPr>
          <w:rFonts w:ascii="宋体" w:hAnsi="宋体"/>
          <w:sz w:val="24"/>
        </w:rPr>
        <w:t>8</w:t>
      </w:r>
      <w:r>
        <w:rPr>
          <w:rFonts w:ascii="宋体" w:hAnsi="宋体" w:hint="eastAsia"/>
          <w:sz w:val="24"/>
        </w:rPr>
        <w:t>项条款进行估值时，所造成的误差不作为基金资产估值错误处理。</w:t>
      </w:r>
    </w:p>
    <w:p w14:paraId="269D8C66"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、由于不可抗力原因，或由于证券</w:t>
      </w:r>
      <w:r>
        <w:rPr>
          <w:rFonts w:ascii="宋体" w:hAnsi="宋体"/>
          <w:sz w:val="24"/>
        </w:rPr>
        <w:t>/</w:t>
      </w:r>
      <w:r>
        <w:rPr>
          <w:rFonts w:ascii="宋体" w:hAnsi="宋体" w:hint="eastAsia"/>
          <w:sz w:val="24"/>
        </w:rPr>
        <w:t>期货交易所、登记结算公司、证券经纪机构、期货公司、存款银行等第三方机构发送的数据错误或第三方估值机构提供的数据错误，或国家会计政策变更、市场规则变更等</w:t>
      </w:r>
      <w:proofErr w:type="gramStart"/>
      <w:r>
        <w:rPr>
          <w:rFonts w:ascii="宋体" w:hAnsi="宋体" w:hint="eastAsia"/>
          <w:sz w:val="24"/>
        </w:rPr>
        <w:t>非基金</w:t>
      </w:r>
      <w:proofErr w:type="gramEnd"/>
      <w:r>
        <w:rPr>
          <w:rFonts w:ascii="宋体" w:hAnsi="宋体" w:hint="eastAsia"/>
          <w:sz w:val="24"/>
        </w:rPr>
        <w:t>管理人和基金托管人原因，基金管理人和基金托管人虽然已经采取必要、适当、合理的措施进行检查，但未能发现错误或即使发现错误但因前述原因无法及时更正的，由此造成的基金资产估值错误，基金管理人和基金托管人免除赔偿责任。但基金管理人和基金托管人应当积极采取必要的措施减轻或消除由此造成的影响。</w:t>
      </w:r>
    </w:p>
    <w:p w14:paraId="051FE951"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rPr>
        <w:br w:type="page"/>
      </w:r>
      <w:bookmarkStart w:id="297" w:name="_Toc13546"/>
      <w:bookmarkStart w:id="298" w:name="_Toc2355"/>
      <w:bookmarkStart w:id="299" w:name="_Toc360794414"/>
      <w:bookmarkStart w:id="300" w:name="_Toc421532550"/>
      <w:bookmarkStart w:id="301" w:name="_Toc360793504"/>
      <w:bookmarkStart w:id="302" w:name="_Toc362533461"/>
      <w:bookmarkStart w:id="303" w:name="_Toc7829"/>
      <w:bookmarkStart w:id="304" w:name="_Toc9891"/>
      <w:bookmarkStart w:id="305" w:name="_Toc405455129"/>
      <w:bookmarkStart w:id="306" w:name="_Toc362455189"/>
      <w:bookmarkStart w:id="307" w:name="_Toc360794106"/>
      <w:bookmarkStart w:id="308" w:name="_Toc360793856"/>
      <w:bookmarkStart w:id="309" w:name="_Toc360794522"/>
      <w:bookmarkStart w:id="310" w:name="_Toc15427"/>
      <w:bookmarkStart w:id="311" w:name="_Toc204678792"/>
      <w:r>
        <w:rPr>
          <w:rFonts w:ascii="Cambria" w:hAnsi="Cambria" w:hint="eastAsia"/>
          <w:sz w:val="32"/>
          <w:szCs w:val="32"/>
        </w:rPr>
        <w:lastRenderedPageBreak/>
        <w:t>基金的收益与分配</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34468E1C"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（一）基金利润的构成</w:t>
      </w:r>
    </w:p>
    <w:p w14:paraId="11C69F2B" w14:textId="77777777" w:rsidR="008A6127" w:rsidRDefault="00437D9F">
      <w:pPr>
        <w:snapToGrid w:val="0"/>
        <w:spacing w:line="360" w:lineRule="auto"/>
        <w:ind w:firstLineChars="200" w:firstLine="480"/>
        <w:rPr>
          <w:rFonts w:ascii="宋体" w:hAnsi="宋体"/>
          <w:sz w:val="24"/>
        </w:rPr>
      </w:pPr>
      <w:r>
        <w:rPr>
          <w:rFonts w:ascii="宋体" w:hAnsi="宋体"/>
          <w:sz w:val="24"/>
        </w:rPr>
        <w:t>基金利润指基金利息收入、投资收益、公允价值变动收益和其他收入扣除相关费用后的余额，基金已实现收益指基金利润减去公允价值变动收益后的余额。</w:t>
      </w:r>
    </w:p>
    <w:p w14:paraId="0BD4E3AE"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（二）基金可供分配利润</w:t>
      </w:r>
    </w:p>
    <w:p w14:paraId="012F4063" w14:textId="77777777" w:rsidR="008A6127" w:rsidRDefault="00437D9F">
      <w:pPr>
        <w:snapToGrid w:val="0"/>
        <w:spacing w:line="360" w:lineRule="auto"/>
        <w:ind w:firstLineChars="200" w:firstLine="480"/>
        <w:rPr>
          <w:rFonts w:ascii="宋体" w:hAnsi="宋体"/>
          <w:sz w:val="24"/>
        </w:rPr>
      </w:pPr>
      <w:r>
        <w:rPr>
          <w:rFonts w:ascii="宋体" w:hAnsi="宋体"/>
          <w:sz w:val="24"/>
        </w:rPr>
        <w:t>基金可供分配利润指截至收益分配基准日基金未分配利润与未分配利润中已实现收益的孰低数。</w:t>
      </w:r>
    </w:p>
    <w:p w14:paraId="0CC5D5F5"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（三）基金收益分配原则</w:t>
      </w:r>
    </w:p>
    <w:p w14:paraId="1CADD021" w14:textId="77777777" w:rsidR="008A6127" w:rsidRDefault="00437D9F">
      <w:pPr>
        <w:snapToGrid w:val="0"/>
        <w:spacing w:line="360" w:lineRule="auto"/>
        <w:ind w:firstLineChars="200" w:firstLine="480"/>
        <w:rPr>
          <w:rFonts w:ascii="宋体" w:hAnsi="宋体"/>
          <w:sz w:val="24"/>
        </w:rPr>
      </w:pPr>
      <w:r>
        <w:rPr>
          <w:rFonts w:ascii="宋体" w:hAnsi="宋体"/>
          <w:sz w:val="24"/>
        </w:rPr>
        <w:t>1、在符合有关基金分红条件的前提下，</w:t>
      </w:r>
      <w:r>
        <w:rPr>
          <w:rFonts w:ascii="宋体" w:hAnsi="宋体" w:hint="eastAsia"/>
          <w:sz w:val="24"/>
        </w:rPr>
        <w:t>基金管理人可根据实际情况进行收益分配，</w:t>
      </w:r>
      <w:r>
        <w:rPr>
          <w:rFonts w:ascii="宋体" w:hAnsi="宋体"/>
          <w:sz w:val="24"/>
        </w:rPr>
        <w:t>若《基金合同》生效不满3个月可不进行收益分配；</w:t>
      </w:r>
    </w:p>
    <w:p w14:paraId="531642D6" w14:textId="77777777" w:rsidR="008A6127" w:rsidRDefault="00437D9F">
      <w:pPr>
        <w:snapToGrid w:val="0"/>
        <w:spacing w:line="360" w:lineRule="auto"/>
        <w:ind w:firstLineChars="200" w:firstLine="480"/>
        <w:rPr>
          <w:rFonts w:ascii="宋体" w:hAnsi="宋体"/>
          <w:sz w:val="24"/>
        </w:rPr>
      </w:pPr>
      <w:r>
        <w:rPr>
          <w:rFonts w:ascii="宋体" w:hAnsi="宋体"/>
          <w:sz w:val="24"/>
        </w:rPr>
        <w:t>2、本基金收益分配方式分两种：现金分红与红利再投资，投资者可选择现金红利或将现金红利自动转为</w:t>
      </w:r>
      <w:r>
        <w:rPr>
          <w:rFonts w:ascii="宋体" w:hAnsi="宋体" w:hint="eastAsia"/>
          <w:sz w:val="24"/>
        </w:rPr>
        <w:t>相应类别的</w:t>
      </w:r>
      <w:r>
        <w:rPr>
          <w:rFonts w:ascii="宋体" w:hAnsi="宋体"/>
          <w:sz w:val="24"/>
        </w:rPr>
        <w:t>基金份额进行再投资；若投资者不选择，本基金默认的收益分配方式是现金分红；</w:t>
      </w:r>
    </w:p>
    <w:p w14:paraId="180F00D2" w14:textId="77777777" w:rsidR="008A6127" w:rsidRDefault="00437D9F">
      <w:pPr>
        <w:snapToGrid w:val="0"/>
        <w:spacing w:line="360" w:lineRule="auto"/>
        <w:ind w:firstLineChars="200" w:firstLine="480"/>
        <w:rPr>
          <w:rFonts w:ascii="宋体" w:hAnsi="宋体"/>
          <w:sz w:val="24"/>
        </w:rPr>
      </w:pPr>
      <w:r>
        <w:rPr>
          <w:rFonts w:ascii="宋体" w:hAnsi="宋体"/>
          <w:sz w:val="24"/>
        </w:rPr>
        <w:t>3、基金收益分配后</w:t>
      </w:r>
      <w:r>
        <w:rPr>
          <w:rFonts w:ascii="宋体" w:hAnsi="宋体" w:hint="eastAsia"/>
          <w:sz w:val="24"/>
        </w:rPr>
        <w:t>各类基金份额的</w:t>
      </w:r>
      <w:r>
        <w:rPr>
          <w:rFonts w:ascii="宋体" w:hAnsi="宋体"/>
          <w:sz w:val="24"/>
        </w:rPr>
        <w:t>基金份额净值不能低于面值；即基金收益分配基准日的</w:t>
      </w:r>
      <w:r>
        <w:rPr>
          <w:rFonts w:ascii="宋体" w:hAnsi="宋体" w:hint="eastAsia"/>
          <w:sz w:val="24"/>
        </w:rPr>
        <w:t>各类基金份额的</w:t>
      </w:r>
      <w:r>
        <w:rPr>
          <w:rFonts w:ascii="宋体" w:hAnsi="宋体"/>
          <w:sz w:val="24"/>
        </w:rPr>
        <w:t>基金份额净值减去</w:t>
      </w:r>
      <w:r>
        <w:rPr>
          <w:rFonts w:ascii="宋体" w:hAnsi="宋体" w:hint="eastAsia"/>
          <w:sz w:val="24"/>
        </w:rPr>
        <w:t>该类别</w:t>
      </w:r>
      <w:r>
        <w:rPr>
          <w:rFonts w:ascii="宋体" w:hAnsi="宋体"/>
          <w:sz w:val="24"/>
        </w:rPr>
        <w:t>每单位基金份额收益分配金额后不能低于面值。</w:t>
      </w:r>
    </w:p>
    <w:p w14:paraId="129F37D5"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由于本基金</w:t>
      </w:r>
      <w:r>
        <w:rPr>
          <w:rFonts w:ascii="宋体" w:hAnsi="宋体"/>
          <w:sz w:val="24"/>
        </w:rPr>
        <w:t>A</w:t>
      </w:r>
      <w:r>
        <w:rPr>
          <w:rFonts w:ascii="宋体" w:hAnsi="宋体" w:hint="eastAsia"/>
          <w:sz w:val="24"/>
        </w:rPr>
        <w:t>类基金份额不收取销售服务费，而</w:t>
      </w:r>
      <w:r>
        <w:rPr>
          <w:rFonts w:ascii="宋体" w:hAnsi="宋体"/>
          <w:sz w:val="24"/>
        </w:rPr>
        <w:t>C</w:t>
      </w:r>
      <w:r>
        <w:rPr>
          <w:rFonts w:ascii="宋体" w:hAnsi="宋体" w:hint="eastAsia"/>
          <w:sz w:val="24"/>
        </w:rPr>
        <w:t>类基金份额收取销售服务费，各类别基金份额对应的可供分配利润将有所不同；同一类别的</w:t>
      </w:r>
      <w:r>
        <w:rPr>
          <w:rFonts w:ascii="宋体" w:hAnsi="宋体"/>
          <w:sz w:val="24"/>
        </w:rPr>
        <w:t>每一基金份额享有同等分配权；</w:t>
      </w:r>
    </w:p>
    <w:p w14:paraId="012D9B0F" w14:textId="77777777"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本基金未限制每年收益分配的最多次数和基金收益分配的最低比例；</w:t>
      </w:r>
      <w:r>
        <w:rPr>
          <w:rFonts w:ascii="宋体" w:hAnsi="宋体"/>
          <w:sz w:val="24"/>
        </w:rPr>
        <w:t>法律法规或监管机关另有规定的，从其规定。</w:t>
      </w:r>
    </w:p>
    <w:p w14:paraId="4DA2362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不违反法律法规、基金合同的约定以及对基金份额持有人利益无实质性不利影响的前提下，基金管理人可在与基金托管人协商一致并按照监管部门要求履行适当程序后对基金收益分配原则进行调整，不需召开基金份额持有人大会，但应于变更实施日前在</w:t>
      </w:r>
      <w:r>
        <w:rPr>
          <w:rFonts w:ascii="宋体" w:hAnsi="宋体"/>
          <w:sz w:val="24"/>
        </w:rPr>
        <w:t>规定媒介</w:t>
      </w:r>
      <w:r>
        <w:rPr>
          <w:rFonts w:ascii="宋体" w:hAnsi="宋体" w:hint="eastAsia"/>
          <w:sz w:val="24"/>
        </w:rPr>
        <w:t>公告。</w:t>
      </w:r>
    </w:p>
    <w:p w14:paraId="6304A713"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（四）收益分配方案</w:t>
      </w:r>
    </w:p>
    <w:p w14:paraId="448A6396" w14:textId="77777777" w:rsidR="008A6127" w:rsidRDefault="00437D9F">
      <w:pPr>
        <w:snapToGrid w:val="0"/>
        <w:spacing w:line="360" w:lineRule="auto"/>
        <w:ind w:firstLineChars="200" w:firstLine="480"/>
        <w:rPr>
          <w:rFonts w:ascii="宋体" w:hAnsi="宋体"/>
          <w:sz w:val="24"/>
        </w:rPr>
      </w:pPr>
      <w:r>
        <w:rPr>
          <w:rFonts w:ascii="宋体" w:hAnsi="宋体"/>
          <w:sz w:val="24"/>
        </w:rPr>
        <w:t>基金收益分配方案中应载明截止收益分配基准日的可供分配利润、基金收益分配对象、分配时间、分配数额及比例、分配方式等内容。</w:t>
      </w:r>
    </w:p>
    <w:p w14:paraId="0C1B499D"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（五）收益分配方案的确定、公告与实施</w:t>
      </w:r>
    </w:p>
    <w:p w14:paraId="0DE3B087"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本基金收益分配方案由基金管理人拟定，并由基金托管人复核，在2日内在规定媒介公告。</w:t>
      </w:r>
    </w:p>
    <w:p w14:paraId="72F7F02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基金红利发放</w:t>
      </w:r>
      <w:proofErr w:type="gramStart"/>
      <w:r>
        <w:rPr>
          <w:rFonts w:ascii="宋体" w:hAnsi="宋体" w:hint="eastAsia"/>
          <w:sz w:val="24"/>
        </w:rPr>
        <w:t>日距离</w:t>
      </w:r>
      <w:proofErr w:type="gramEnd"/>
      <w:r>
        <w:rPr>
          <w:rFonts w:ascii="宋体" w:hAnsi="宋体" w:hint="eastAsia"/>
          <w:sz w:val="24"/>
        </w:rPr>
        <w:t>收益分配基准日（即可供分配利润计算截止日）的时间不得超过15个工作日。</w:t>
      </w:r>
    </w:p>
    <w:p w14:paraId="2CC3E79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法律法规或监管机关另有规定的，从其规定。</w:t>
      </w:r>
    </w:p>
    <w:p w14:paraId="7298A8AD"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（六）基金收益分配中发生的费用</w:t>
      </w:r>
    </w:p>
    <w:p w14:paraId="658BFBB7" w14:textId="77777777" w:rsidR="008A6127" w:rsidRDefault="00437D9F">
      <w:pPr>
        <w:snapToGrid w:val="0"/>
        <w:spacing w:line="360" w:lineRule="auto"/>
        <w:ind w:firstLineChars="200" w:firstLine="480"/>
        <w:rPr>
          <w:rFonts w:ascii="宋体" w:hAnsi="宋体"/>
          <w:sz w:val="24"/>
        </w:rPr>
      </w:pPr>
      <w:r>
        <w:rPr>
          <w:rFonts w:ascii="宋体" w:hAnsi="宋体"/>
          <w:sz w:val="24"/>
        </w:rPr>
        <w:t>基金收益分配时所发生的银行转账或其他手续费用由投资者自行承担。当投资者的现金红利小于一定金额，不足</w:t>
      </w:r>
      <w:r>
        <w:rPr>
          <w:rFonts w:ascii="宋体" w:hAnsi="宋体" w:hint="eastAsia"/>
          <w:sz w:val="24"/>
        </w:rPr>
        <w:t>以</w:t>
      </w:r>
      <w:r>
        <w:rPr>
          <w:rFonts w:ascii="宋体" w:hAnsi="宋体"/>
          <w:sz w:val="24"/>
        </w:rPr>
        <w:t>支付银行转账或其他手续费用时，基金登记机构可将基金份额持有人的现金红利自动转为</w:t>
      </w:r>
      <w:r>
        <w:rPr>
          <w:rFonts w:ascii="宋体" w:hAnsi="宋体" w:hint="eastAsia"/>
          <w:sz w:val="24"/>
        </w:rPr>
        <w:t>相应类别的</w:t>
      </w:r>
      <w:r>
        <w:rPr>
          <w:rFonts w:ascii="宋体" w:hAnsi="宋体"/>
          <w:sz w:val="24"/>
        </w:rPr>
        <w:t>基金份额。红利再投资的计算方法，依照《业务规则》执行。</w:t>
      </w:r>
    </w:p>
    <w:p w14:paraId="464499E2" w14:textId="77777777" w:rsidR="008A6127" w:rsidRDefault="008A6127">
      <w:pPr>
        <w:snapToGrid w:val="0"/>
        <w:spacing w:line="360" w:lineRule="auto"/>
        <w:ind w:firstLineChars="225" w:firstLine="540"/>
        <w:rPr>
          <w:rFonts w:ascii="Cambria" w:hAnsi="Cambria"/>
          <w:bCs/>
          <w:sz w:val="24"/>
        </w:rPr>
      </w:pPr>
    </w:p>
    <w:p w14:paraId="50D05D59"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rPr>
        <w:br w:type="page"/>
      </w:r>
      <w:bookmarkStart w:id="312" w:name="_Toc360794107"/>
      <w:bookmarkStart w:id="313" w:name="_Toc360794523"/>
      <w:bookmarkStart w:id="314" w:name="_Toc30826"/>
      <w:bookmarkStart w:id="315" w:name="_Toc7235"/>
      <w:bookmarkStart w:id="316" w:name="_Toc30132"/>
      <w:bookmarkStart w:id="317" w:name="_Toc421532551"/>
      <w:bookmarkStart w:id="318" w:name="_Toc28791"/>
      <w:bookmarkStart w:id="319" w:name="_Toc360793505"/>
      <w:bookmarkStart w:id="320" w:name="_Toc405455130"/>
      <w:bookmarkStart w:id="321" w:name="_Toc362455190"/>
      <w:bookmarkStart w:id="322" w:name="_Toc360793857"/>
      <w:bookmarkStart w:id="323" w:name="_Toc5134"/>
      <w:bookmarkStart w:id="324" w:name="_Toc360794415"/>
      <w:bookmarkStart w:id="325" w:name="_Toc362533462"/>
      <w:bookmarkStart w:id="326" w:name="_Toc204678793"/>
      <w:r>
        <w:rPr>
          <w:rFonts w:ascii="Cambria" w:hAnsi="Cambria" w:hint="eastAsia"/>
          <w:sz w:val="32"/>
          <w:szCs w:val="32"/>
        </w:rPr>
        <w:lastRenderedPageBreak/>
        <w:t>基金费用与税收</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649A0EE6"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（一）</w:t>
      </w:r>
      <w:r>
        <w:rPr>
          <w:rFonts w:ascii="Cambria" w:hAnsi="Cambria"/>
          <w:b/>
          <w:sz w:val="24"/>
          <w:szCs w:val="24"/>
        </w:rPr>
        <w:t>基金费用的种类</w:t>
      </w:r>
    </w:p>
    <w:p w14:paraId="053A7928" w14:textId="77777777" w:rsidR="008A6127" w:rsidRDefault="00437D9F">
      <w:pPr>
        <w:snapToGrid w:val="0"/>
        <w:spacing w:line="360" w:lineRule="auto"/>
        <w:ind w:firstLineChars="200" w:firstLine="480"/>
        <w:rPr>
          <w:rFonts w:ascii="宋体" w:hAnsi="宋体"/>
          <w:sz w:val="24"/>
        </w:rPr>
      </w:pPr>
      <w:r>
        <w:rPr>
          <w:rFonts w:ascii="宋体" w:hAnsi="宋体"/>
          <w:sz w:val="24"/>
        </w:rPr>
        <w:t>1、基金管理人的管理费；</w:t>
      </w:r>
    </w:p>
    <w:p w14:paraId="2F46A0B7" w14:textId="77777777" w:rsidR="008A6127" w:rsidRDefault="00437D9F">
      <w:pPr>
        <w:snapToGrid w:val="0"/>
        <w:spacing w:line="360" w:lineRule="auto"/>
        <w:ind w:firstLineChars="200" w:firstLine="480"/>
        <w:rPr>
          <w:rFonts w:ascii="宋体" w:hAnsi="宋体"/>
          <w:sz w:val="24"/>
        </w:rPr>
      </w:pPr>
      <w:r>
        <w:rPr>
          <w:rFonts w:ascii="宋体" w:hAnsi="宋体"/>
          <w:sz w:val="24"/>
        </w:rPr>
        <w:t>2、基金托管人的托管费；</w:t>
      </w:r>
    </w:p>
    <w:p w14:paraId="43905443" w14:textId="6A2521A0" w:rsidR="008A6127" w:rsidRDefault="00437D9F">
      <w:pPr>
        <w:snapToGrid w:val="0"/>
        <w:spacing w:line="360" w:lineRule="auto"/>
        <w:ind w:firstLineChars="200" w:firstLine="480"/>
        <w:rPr>
          <w:rFonts w:ascii="宋体" w:hAnsi="宋体"/>
          <w:sz w:val="24"/>
        </w:rPr>
      </w:pPr>
      <w:r>
        <w:rPr>
          <w:rFonts w:ascii="宋体" w:hAnsi="宋体" w:hint="eastAsia"/>
          <w:sz w:val="24"/>
        </w:rPr>
        <w:t>3、销售服务费</w:t>
      </w:r>
      <w:r w:rsidR="00B67392">
        <w:rPr>
          <w:rFonts w:ascii="宋体" w:hAnsi="宋体" w:hint="eastAsia"/>
          <w:sz w:val="24"/>
        </w:rPr>
        <w:t>；</w:t>
      </w:r>
    </w:p>
    <w:p w14:paraId="12FD68A2"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除法律法规、中国证监会另有规定外，</w:t>
      </w:r>
      <w:r>
        <w:rPr>
          <w:rFonts w:ascii="宋体" w:hAnsi="宋体"/>
          <w:sz w:val="24"/>
        </w:rPr>
        <w:t>《基金合同》生效后与基金相关的信息披露费用；</w:t>
      </w:r>
    </w:p>
    <w:p w14:paraId="1EA3BD9C" w14:textId="77777777" w:rsidR="008A6127" w:rsidRDefault="00437D9F">
      <w:pPr>
        <w:snapToGrid w:val="0"/>
        <w:spacing w:line="360" w:lineRule="auto"/>
        <w:ind w:firstLineChars="200" w:firstLine="480"/>
        <w:rPr>
          <w:rFonts w:ascii="宋体" w:hAnsi="宋体"/>
          <w:sz w:val="24"/>
        </w:rPr>
      </w:pPr>
      <w:r>
        <w:rPr>
          <w:rFonts w:ascii="宋体" w:hAnsi="宋体"/>
          <w:sz w:val="24"/>
        </w:rPr>
        <w:t>5、《基金合同》生效后与基金相关的会计师费、律师费</w:t>
      </w:r>
      <w:r>
        <w:rPr>
          <w:rFonts w:ascii="宋体" w:hAnsi="宋体" w:hint="eastAsia"/>
          <w:sz w:val="24"/>
        </w:rPr>
        <w:t>、</w:t>
      </w:r>
      <w:r>
        <w:rPr>
          <w:rFonts w:ascii="宋体" w:hAnsi="宋体"/>
          <w:sz w:val="24"/>
        </w:rPr>
        <w:t>诉讼费</w:t>
      </w:r>
      <w:r>
        <w:rPr>
          <w:rFonts w:ascii="宋体" w:hAnsi="宋体" w:hint="eastAsia"/>
          <w:sz w:val="24"/>
        </w:rPr>
        <w:t>和仲裁费</w:t>
      </w:r>
      <w:r>
        <w:rPr>
          <w:rFonts w:ascii="宋体" w:hAnsi="宋体"/>
          <w:sz w:val="24"/>
        </w:rPr>
        <w:t>；</w:t>
      </w:r>
    </w:p>
    <w:p w14:paraId="0AADCA57" w14:textId="77777777" w:rsidR="008A6127" w:rsidRDefault="00437D9F">
      <w:pPr>
        <w:snapToGrid w:val="0"/>
        <w:spacing w:line="360" w:lineRule="auto"/>
        <w:ind w:firstLineChars="200" w:firstLine="480"/>
        <w:rPr>
          <w:rFonts w:ascii="宋体" w:hAnsi="宋体"/>
          <w:sz w:val="24"/>
        </w:rPr>
      </w:pPr>
      <w:r>
        <w:rPr>
          <w:rFonts w:ascii="宋体" w:hAnsi="宋体"/>
          <w:sz w:val="24"/>
        </w:rPr>
        <w:t>6、基金份额持有人大会费用；</w:t>
      </w:r>
    </w:p>
    <w:p w14:paraId="483815B7" w14:textId="77777777" w:rsidR="008A6127" w:rsidRDefault="00437D9F">
      <w:pPr>
        <w:snapToGrid w:val="0"/>
        <w:spacing w:line="360" w:lineRule="auto"/>
        <w:ind w:firstLineChars="200" w:firstLine="480"/>
        <w:rPr>
          <w:rFonts w:ascii="宋体" w:hAnsi="宋体"/>
          <w:sz w:val="24"/>
        </w:rPr>
      </w:pPr>
      <w:r>
        <w:rPr>
          <w:rFonts w:ascii="宋体" w:hAnsi="宋体"/>
          <w:sz w:val="24"/>
        </w:rPr>
        <w:t>7、基金的证券</w:t>
      </w:r>
      <w:r>
        <w:rPr>
          <w:rFonts w:ascii="宋体" w:hAnsi="宋体" w:hint="eastAsia"/>
          <w:sz w:val="24"/>
        </w:rPr>
        <w:t>/期货</w:t>
      </w:r>
      <w:r>
        <w:rPr>
          <w:rFonts w:ascii="宋体" w:hAnsi="宋体"/>
          <w:sz w:val="24"/>
        </w:rPr>
        <w:t>交易费用；</w:t>
      </w:r>
    </w:p>
    <w:p w14:paraId="2AA5EA78" w14:textId="77777777" w:rsidR="008A6127" w:rsidRDefault="00437D9F">
      <w:pPr>
        <w:snapToGrid w:val="0"/>
        <w:spacing w:line="360" w:lineRule="auto"/>
        <w:ind w:firstLineChars="200" w:firstLine="480"/>
        <w:rPr>
          <w:rFonts w:ascii="宋体" w:hAnsi="宋体"/>
          <w:sz w:val="24"/>
        </w:rPr>
      </w:pPr>
      <w:r>
        <w:rPr>
          <w:rFonts w:ascii="宋体" w:hAnsi="宋体"/>
          <w:sz w:val="24"/>
        </w:rPr>
        <w:t>8、基金的银行汇划费用；</w:t>
      </w:r>
    </w:p>
    <w:p w14:paraId="3A20C108" w14:textId="77777777" w:rsidR="008A6127" w:rsidRDefault="00437D9F">
      <w:pPr>
        <w:snapToGrid w:val="0"/>
        <w:spacing w:line="360" w:lineRule="auto"/>
        <w:ind w:firstLineChars="200" w:firstLine="480"/>
        <w:rPr>
          <w:rFonts w:ascii="宋体" w:hAnsi="宋体"/>
          <w:sz w:val="24"/>
        </w:rPr>
      </w:pPr>
      <w:r>
        <w:rPr>
          <w:rFonts w:ascii="宋体" w:hAnsi="宋体"/>
          <w:sz w:val="24"/>
        </w:rPr>
        <w:t>9</w:t>
      </w:r>
      <w:r>
        <w:rPr>
          <w:rFonts w:ascii="宋体" w:hAnsi="宋体" w:hint="eastAsia"/>
          <w:sz w:val="24"/>
        </w:rPr>
        <w:t>、基金的开户费用、账户维护费用；</w:t>
      </w:r>
    </w:p>
    <w:p w14:paraId="159A15AB" w14:textId="77777777" w:rsidR="008A6127" w:rsidRDefault="00437D9F">
      <w:pPr>
        <w:snapToGrid w:val="0"/>
        <w:spacing w:line="360" w:lineRule="auto"/>
        <w:ind w:firstLineChars="200" w:firstLine="480"/>
        <w:rPr>
          <w:rFonts w:ascii="宋体" w:hAnsi="宋体"/>
          <w:sz w:val="24"/>
        </w:rPr>
      </w:pPr>
      <w:r>
        <w:rPr>
          <w:rFonts w:ascii="宋体" w:hAnsi="宋体"/>
          <w:sz w:val="24"/>
        </w:rPr>
        <w:t>10</w:t>
      </w:r>
      <w:r>
        <w:rPr>
          <w:rFonts w:ascii="宋体" w:hAnsi="宋体" w:hint="eastAsia"/>
          <w:sz w:val="24"/>
        </w:rPr>
        <w:t>、因投资港股通标的股票而产生的各项合理费用；</w:t>
      </w:r>
    </w:p>
    <w:p w14:paraId="533DF8B8" w14:textId="77777777" w:rsidR="008A6127" w:rsidRDefault="00437D9F">
      <w:pPr>
        <w:snapToGrid w:val="0"/>
        <w:spacing w:line="360" w:lineRule="auto"/>
        <w:ind w:firstLineChars="200" w:firstLine="480"/>
        <w:rPr>
          <w:rFonts w:ascii="宋体" w:hAnsi="宋体"/>
          <w:sz w:val="24"/>
        </w:rPr>
      </w:pPr>
      <w:r>
        <w:rPr>
          <w:rFonts w:ascii="宋体" w:hAnsi="宋体"/>
          <w:sz w:val="24"/>
        </w:rPr>
        <w:t>11、按照国家有关规定和《基金合同》约定，可以在基金财产中列支的其他费用。</w:t>
      </w:r>
    </w:p>
    <w:p w14:paraId="0B7B7C25"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（二）</w:t>
      </w:r>
      <w:r>
        <w:rPr>
          <w:rFonts w:ascii="Cambria" w:hAnsi="Cambria"/>
          <w:b/>
          <w:sz w:val="24"/>
          <w:szCs w:val="24"/>
        </w:rPr>
        <w:t>基金费用计提方法、计提标准和支付方式</w:t>
      </w:r>
    </w:p>
    <w:p w14:paraId="1B564DFE" w14:textId="77777777" w:rsidR="008A6127" w:rsidRDefault="00437D9F">
      <w:pPr>
        <w:snapToGrid w:val="0"/>
        <w:spacing w:line="360" w:lineRule="auto"/>
        <w:ind w:firstLineChars="200" w:firstLine="480"/>
        <w:rPr>
          <w:rFonts w:ascii="宋体" w:hAnsi="宋体"/>
          <w:sz w:val="24"/>
        </w:rPr>
      </w:pPr>
      <w:r>
        <w:rPr>
          <w:rFonts w:ascii="宋体" w:hAnsi="宋体"/>
          <w:sz w:val="24"/>
        </w:rPr>
        <w:t xml:space="preserve">1、基金管理人的管理费 </w:t>
      </w:r>
    </w:p>
    <w:p w14:paraId="58FAC5BD" w14:textId="77777777" w:rsidR="008A6127" w:rsidRDefault="00437D9F">
      <w:pPr>
        <w:snapToGrid w:val="0"/>
        <w:spacing w:line="360" w:lineRule="auto"/>
        <w:ind w:firstLineChars="200" w:firstLine="480"/>
        <w:rPr>
          <w:rFonts w:ascii="宋体" w:hAnsi="宋体"/>
          <w:sz w:val="24"/>
        </w:rPr>
      </w:pPr>
      <w:r>
        <w:rPr>
          <w:rFonts w:ascii="宋体" w:hAnsi="宋体"/>
          <w:sz w:val="24"/>
        </w:rPr>
        <w:t>本基金的管理费按前一日基金资产净值的1.2%年费率计提。管理费的计算方法如下：</w:t>
      </w:r>
    </w:p>
    <w:p w14:paraId="2780D3E8" w14:textId="77777777" w:rsidR="008A6127" w:rsidRDefault="00437D9F">
      <w:pPr>
        <w:snapToGrid w:val="0"/>
        <w:spacing w:line="360" w:lineRule="auto"/>
        <w:ind w:firstLineChars="200" w:firstLine="480"/>
        <w:rPr>
          <w:rFonts w:ascii="宋体" w:hAnsi="宋体"/>
          <w:sz w:val="24"/>
        </w:rPr>
      </w:pPr>
      <w:r>
        <w:rPr>
          <w:rFonts w:ascii="宋体" w:hAnsi="宋体"/>
          <w:sz w:val="24"/>
        </w:rPr>
        <w:t>H＝E×1.2%÷当年天数</w:t>
      </w:r>
    </w:p>
    <w:p w14:paraId="144E2282" w14:textId="77777777" w:rsidR="008A6127" w:rsidRDefault="00437D9F">
      <w:pPr>
        <w:snapToGrid w:val="0"/>
        <w:spacing w:line="360" w:lineRule="auto"/>
        <w:ind w:firstLineChars="200" w:firstLine="480"/>
        <w:rPr>
          <w:rFonts w:ascii="宋体" w:hAnsi="宋体"/>
          <w:sz w:val="24"/>
        </w:rPr>
      </w:pPr>
      <w:r>
        <w:rPr>
          <w:rFonts w:ascii="宋体" w:hAnsi="宋体"/>
          <w:sz w:val="24"/>
        </w:rPr>
        <w:t>H为每日应计提的基金管理费</w:t>
      </w:r>
    </w:p>
    <w:p w14:paraId="148E83AF" w14:textId="77777777" w:rsidR="008A6127" w:rsidRDefault="00437D9F">
      <w:pPr>
        <w:snapToGrid w:val="0"/>
        <w:spacing w:line="360" w:lineRule="auto"/>
        <w:ind w:firstLineChars="200" w:firstLine="480"/>
        <w:rPr>
          <w:rFonts w:ascii="宋体" w:hAnsi="宋体"/>
          <w:sz w:val="24"/>
        </w:rPr>
      </w:pPr>
      <w:r>
        <w:rPr>
          <w:rFonts w:ascii="宋体" w:hAnsi="宋体"/>
          <w:sz w:val="24"/>
        </w:rPr>
        <w:t>E为前一日的基金资产净值</w:t>
      </w:r>
    </w:p>
    <w:p w14:paraId="3A5E9BBA" w14:textId="77777777" w:rsidR="008A6127" w:rsidRDefault="00437D9F">
      <w:pPr>
        <w:snapToGrid w:val="0"/>
        <w:spacing w:line="360" w:lineRule="auto"/>
        <w:ind w:firstLineChars="200" w:firstLine="480"/>
        <w:rPr>
          <w:rFonts w:ascii="宋体" w:hAnsi="宋体"/>
          <w:sz w:val="24"/>
        </w:rPr>
      </w:pPr>
      <w:r>
        <w:rPr>
          <w:rFonts w:ascii="宋体" w:hAnsi="宋体"/>
          <w:sz w:val="24"/>
        </w:rPr>
        <w:t>基金</w:t>
      </w:r>
      <w:r>
        <w:rPr>
          <w:rFonts w:ascii="宋体" w:hAnsi="宋体" w:hint="eastAsia"/>
          <w:sz w:val="24"/>
        </w:rPr>
        <w:t>管理费每日计提，逐日累计</w:t>
      </w:r>
      <w:r>
        <w:rPr>
          <w:rFonts w:ascii="宋体" w:hAnsi="宋体"/>
          <w:sz w:val="24"/>
        </w:rPr>
        <w:t>至每月月末，按月支付，</w:t>
      </w:r>
      <w:r>
        <w:rPr>
          <w:rFonts w:ascii="宋体" w:hAnsi="宋体" w:hint="eastAsia"/>
          <w:sz w:val="24"/>
        </w:rPr>
        <w:t>经基金管理人与基金托管人双方核对无误后，基金托管人按照与基金管理人协商一致的方式于次月前5个工作日内从基金财产中一次性支付给基金管理人。若遇法定节假日、休息日或不可抗力致使无法按时支付的，顺延至最近可支付日支付。</w:t>
      </w:r>
    </w:p>
    <w:p w14:paraId="5A890F87" w14:textId="77777777" w:rsidR="008A6127" w:rsidRDefault="00437D9F">
      <w:pPr>
        <w:snapToGrid w:val="0"/>
        <w:spacing w:line="360" w:lineRule="auto"/>
        <w:ind w:firstLineChars="200" w:firstLine="480"/>
        <w:rPr>
          <w:rFonts w:ascii="宋体" w:hAnsi="宋体"/>
          <w:sz w:val="24"/>
        </w:rPr>
      </w:pPr>
      <w:r>
        <w:rPr>
          <w:rFonts w:ascii="宋体" w:hAnsi="宋体"/>
          <w:sz w:val="24"/>
        </w:rPr>
        <w:t>2、基金托管人的托管费</w:t>
      </w:r>
    </w:p>
    <w:p w14:paraId="57258988" w14:textId="77777777" w:rsidR="008A6127" w:rsidRDefault="00437D9F">
      <w:pPr>
        <w:snapToGrid w:val="0"/>
        <w:spacing w:line="360" w:lineRule="auto"/>
        <w:ind w:firstLineChars="200" w:firstLine="480"/>
        <w:rPr>
          <w:rFonts w:ascii="宋体" w:hAnsi="宋体"/>
          <w:sz w:val="24"/>
        </w:rPr>
      </w:pPr>
      <w:r>
        <w:rPr>
          <w:rFonts w:ascii="宋体" w:hAnsi="宋体"/>
          <w:sz w:val="24"/>
        </w:rPr>
        <w:t>本基金的托管费按前一日基金资产净</w:t>
      </w:r>
      <w:r>
        <w:rPr>
          <w:rFonts w:ascii="宋体" w:hAnsi="宋体" w:hint="eastAsia"/>
          <w:sz w:val="24"/>
        </w:rPr>
        <w:t>值的</w:t>
      </w:r>
      <w:r>
        <w:rPr>
          <w:rFonts w:ascii="宋体" w:hAnsi="宋体"/>
          <w:sz w:val="24"/>
        </w:rPr>
        <w:t>0.20%</w:t>
      </w:r>
      <w:r>
        <w:rPr>
          <w:rFonts w:ascii="宋体" w:hAnsi="宋体" w:hint="eastAsia"/>
          <w:sz w:val="24"/>
        </w:rPr>
        <w:t>的年</w:t>
      </w:r>
      <w:r>
        <w:rPr>
          <w:rFonts w:ascii="宋体" w:hAnsi="宋体"/>
          <w:sz w:val="24"/>
        </w:rPr>
        <w:t>费率计提。托管费的计算方法如下：</w:t>
      </w:r>
    </w:p>
    <w:p w14:paraId="5619F7ED"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H</w:t>
      </w:r>
      <w:r>
        <w:rPr>
          <w:rFonts w:ascii="宋体" w:hAnsi="宋体" w:hint="eastAsia"/>
          <w:sz w:val="24"/>
        </w:rPr>
        <w:t>＝</w:t>
      </w:r>
      <w:r>
        <w:rPr>
          <w:rFonts w:ascii="宋体" w:hAnsi="宋体"/>
          <w:sz w:val="24"/>
        </w:rPr>
        <w:t>E×0.20%÷</w:t>
      </w:r>
      <w:r>
        <w:rPr>
          <w:rFonts w:ascii="宋体" w:hAnsi="宋体" w:hint="eastAsia"/>
          <w:sz w:val="24"/>
        </w:rPr>
        <w:t>当</w:t>
      </w:r>
      <w:r>
        <w:rPr>
          <w:rFonts w:ascii="宋体" w:hAnsi="宋体"/>
          <w:sz w:val="24"/>
        </w:rPr>
        <w:t>年天数</w:t>
      </w:r>
    </w:p>
    <w:p w14:paraId="3D4930EA" w14:textId="77777777" w:rsidR="008A6127" w:rsidRDefault="00437D9F">
      <w:pPr>
        <w:snapToGrid w:val="0"/>
        <w:spacing w:line="360" w:lineRule="auto"/>
        <w:ind w:firstLineChars="200" w:firstLine="480"/>
        <w:rPr>
          <w:rFonts w:ascii="宋体" w:hAnsi="宋体"/>
          <w:sz w:val="24"/>
        </w:rPr>
      </w:pPr>
      <w:r>
        <w:rPr>
          <w:rFonts w:ascii="宋体" w:hAnsi="宋体"/>
          <w:sz w:val="24"/>
        </w:rPr>
        <w:t>H为每日应计提的基金托管费</w:t>
      </w:r>
    </w:p>
    <w:p w14:paraId="3BE6577A" w14:textId="77777777" w:rsidR="008A6127" w:rsidRDefault="00437D9F">
      <w:pPr>
        <w:snapToGrid w:val="0"/>
        <w:spacing w:line="360" w:lineRule="auto"/>
        <w:ind w:firstLineChars="200" w:firstLine="480"/>
        <w:rPr>
          <w:rFonts w:ascii="宋体" w:hAnsi="宋体"/>
          <w:sz w:val="24"/>
        </w:rPr>
      </w:pPr>
      <w:r>
        <w:rPr>
          <w:rFonts w:ascii="宋体" w:hAnsi="宋体"/>
          <w:sz w:val="24"/>
        </w:rPr>
        <w:t>E为前一日的基金资产净值</w:t>
      </w:r>
    </w:p>
    <w:p w14:paraId="0EB6AE54" w14:textId="77777777" w:rsidR="008A6127" w:rsidRDefault="00437D9F">
      <w:pPr>
        <w:snapToGrid w:val="0"/>
        <w:spacing w:line="360" w:lineRule="auto"/>
        <w:ind w:firstLineChars="200" w:firstLine="480"/>
        <w:rPr>
          <w:rFonts w:ascii="宋体" w:hAnsi="宋体"/>
          <w:sz w:val="24"/>
        </w:rPr>
      </w:pPr>
      <w:r>
        <w:rPr>
          <w:rFonts w:ascii="宋体" w:hAnsi="宋体"/>
          <w:sz w:val="24"/>
        </w:rPr>
        <w:t>基金托管费</w:t>
      </w:r>
      <w:r>
        <w:rPr>
          <w:rFonts w:ascii="宋体" w:hAnsi="宋体" w:hint="eastAsia"/>
          <w:sz w:val="24"/>
        </w:rPr>
        <w:t>每日计提，逐日累</w:t>
      </w:r>
      <w:r>
        <w:rPr>
          <w:rFonts w:ascii="宋体" w:hAnsi="宋体"/>
          <w:sz w:val="24"/>
        </w:rPr>
        <w:t>计至每月月末，按月支付，</w:t>
      </w:r>
      <w:r>
        <w:rPr>
          <w:rFonts w:ascii="宋体" w:hAnsi="宋体" w:hint="eastAsia"/>
          <w:sz w:val="24"/>
        </w:rPr>
        <w:t xml:space="preserve">经基金管理人与基金托管人双方核对无误后，基金托管人按照与基金管理人协商一致的方式于次月前5 </w:t>
      </w:r>
      <w:proofErr w:type="gramStart"/>
      <w:r>
        <w:rPr>
          <w:rFonts w:ascii="宋体" w:hAnsi="宋体" w:hint="eastAsia"/>
          <w:sz w:val="24"/>
        </w:rPr>
        <w:t>个</w:t>
      </w:r>
      <w:proofErr w:type="gramEnd"/>
      <w:r>
        <w:rPr>
          <w:rFonts w:ascii="宋体" w:hAnsi="宋体" w:hint="eastAsia"/>
          <w:sz w:val="24"/>
        </w:rPr>
        <w:t>工作日内从基金财产中一次性支取。若遇法定节假日、休息日或不可抗力致使无法按时支付的，顺延至最近可支付日支付。</w:t>
      </w:r>
    </w:p>
    <w:p w14:paraId="114A792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3、销售服务费</w:t>
      </w:r>
    </w:p>
    <w:p w14:paraId="711770B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本基金A类基金份额不收取销售服务费，C类基金份额的销售服务费年费率为</w:t>
      </w:r>
      <w:r>
        <w:rPr>
          <w:rFonts w:ascii="宋体" w:hAnsi="宋体"/>
          <w:sz w:val="24"/>
        </w:rPr>
        <w:t>0.6%</w:t>
      </w:r>
      <w:r>
        <w:rPr>
          <w:rFonts w:ascii="宋体" w:hAnsi="宋体" w:hint="eastAsia"/>
          <w:sz w:val="24"/>
        </w:rPr>
        <w:t>，按前一日C类基金份额资产净值的</w:t>
      </w:r>
      <w:r>
        <w:rPr>
          <w:rFonts w:ascii="宋体" w:hAnsi="宋体"/>
          <w:sz w:val="24"/>
        </w:rPr>
        <w:t>0.6%</w:t>
      </w:r>
      <w:r>
        <w:rPr>
          <w:rFonts w:ascii="宋体" w:hAnsi="宋体" w:hint="eastAsia"/>
          <w:sz w:val="24"/>
        </w:rPr>
        <w:t>年费率计提。</w:t>
      </w:r>
    </w:p>
    <w:p w14:paraId="2B4BED4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销售服务费的计算方法如下：</w:t>
      </w:r>
    </w:p>
    <w:p w14:paraId="1AD9A94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H＝E×</w:t>
      </w:r>
      <w:r>
        <w:rPr>
          <w:rFonts w:ascii="宋体" w:hAnsi="宋体"/>
          <w:sz w:val="24"/>
        </w:rPr>
        <w:t>0.6%</w:t>
      </w:r>
      <w:r>
        <w:rPr>
          <w:rFonts w:ascii="宋体" w:hAnsi="宋体" w:hint="eastAsia"/>
          <w:sz w:val="24"/>
        </w:rPr>
        <w:t>÷当年天数</w:t>
      </w:r>
    </w:p>
    <w:p w14:paraId="2B3F303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H为C类基金份额每日应计提的销售服务费</w:t>
      </w:r>
    </w:p>
    <w:p w14:paraId="322A067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E为C类基金份额前一日基金资产净值</w:t>
      </w:r>
    </w:p>
    <w:p w14:paraId="11463A6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销售服务费每日计提，逐日累计至每月月末，按月支付，经基金管理人与基金托管人双方核对无误后，基金托管人按照与基金管理人协商一致的方式于次月前5个工作日内从基金财产中一次性支付给基金管理人，由基金管理人代付给销售机构。若遇法定节假日、休息日或不可抗力致使无法按时支付的，顺延至最近可支付日支付。</w:t>
      </w:r>
    </w:p>
    <w:p w14:paraId="4E3B45FA" w14:textId="77777777" w:rsidR="008A6127" w:rsidRDefault="00437D9F">
      <w:pPr>
        <w:snapToGrid w:val="0"/>
        <w:spacing w:line="360" w:lineRule="auto"/>
        <w:ind w:firstLineChars="200" w:firstLine="480"/>
        <w:rPr>
          <w:rFonts w:ascii="宋体" w:hAnsi="宋体"/>
          <w:sz w:val="24"/>
        </w:rPr>
      </w:pPr>
      <w:r>
        <w:rPr>
          <w:rFonts w:ascii="宋体" w:hAnsi="宋体"/>
          <w:sz w:val="24"/>
        </w:rPr>
        <w:t>上述“</w:t>
      </w:r>
      <w:r>
        <w:rPr>
          <w:rFonts w:ascii="宋体" w:hAnsi="宋体" w:hint="eastAsia"/>
          <w:sz w:val="24"/>
        </w:rPr>
        <w:t>（一）</w:t>
      </w:r>
      <w:r>
        <w:rPr>
          <w:rFonts w:ascii="宋体" w:hAnsi="宋体"/>
          <w:sz w:val="24"/>
        </w:rPr>
        <w:t>基金费用的种类</w:t>
      </w:r>
      <w:r>
        <w:rPr>
          <w:rFonts w:ascii="宋体" w:hAnsi="宋体" w:hint="eastAsia"/>
          <w:sz w:val="24"/>
        </w:rPr>
        <w:t>”</w:t>
      </w:r>
      <w:r>
        <w:rPr>
          <w:rFonts w:ascii="宋体" w:hAnsi="宋体"/>
          <w:sz w:val="24"/>
        </w:rPr>
        <w:t>中第</w:t>
      </w:r>
      <w:r>
        <w:rPr>
          <w:rFonts w:ascii="宋体" w:hAnsi="宋体" w:hint="eastAsia"/>
          <w:sz w:val="24"/>
        </w:rPr>
        <w:t>4-</w:t>
      </w:r>
      <w:r>
        <w:rPr>
          <w:rFonts w:ascii="宋体" w:hAnsi="宋体"/>
          <w:sz w:val="24"/>
        </w:rPr>
        <w:t>11项费用，根据有关法规及相应协议规定，按费用实际支出金额列入当期费用，由基金托管人从基金财产中支付。</w:t>
      </w:r>
    </w:p>
    <w:p w14:paraId="52F86960"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（三）</w:t>
      </w:r>
      <w:r>
        <w:rPr>
          <w:rFonts w:ascii="Cambria" w:hAnsi="Cambria"/>
          <w:b/>
          <w:sz w:val="24"/>
          <w:szCs w:val="24"/>
        </w:rPr>
        <w:t>不列入基金费用的项目</w:t>
      </w:r>
    </w:p>
    <w:p w14:paraId="1EEF74C0" w14:textId="77777777" w:rsidR="008A6127" w:rsidRDefault="00437D9F">
      <w:pPr>
        <w:snapToGrid w:val="0"/>
        <w:spacing w:line="360" w:lineRule="auto"/>
        <w:ind w:firstLineChars="200" w:firstLine="480"/>
        <w:rPr>
          <w:rFonts w:ascii="宋体" w:hAnsi="宋体"/>
          <w:sz w:val="24"/>
        </w:rPr>
      </w:pPr>
      <w:r>
        <w:rPr>
          <w:rFonts w:ascii="宋体" w:hAnsi="宋体"/>
          <w:sz w:val="24"/>
        </w:rPr>
        <w:t>下列费用不列入基金费用：</w:t>
      </w:r>
    </w:p>
    <w:p w14:paraId="635E9A4D" w14:textId="77777777" w:rsidR="008A6127" w:rsidRDefault="00437D9F">
      <w:pPr>
        <w:snapToGrid w:val="0"/>
        <w:spacing w:line="360" w:lineRule="auto"/>
        <w:ind w:firstLineChars="200" w:firstLine="480"/>
        <w:rPr>
          <w:rFonts w:ascii="宋体" w:hAnsi="宋体"/>
          <w:sz w:val="24"/>
        </w:rPr>
      </w:pPr>
      <w:r>
        <w:rPr>
          <w:rFonts w:ascii="宋体" w:hAnsi="宋体"/>
          <w:sz w:val="24"/>
        </w:rPr>
        <w:t>1、基金管理人和基金托管人因未履行或未完全履行义务导致的费用支出或基金财产的损失；</w:t>
      </w:r>
    </w:p>
    <w:p w14:paraId="3F5270C9" w14:textId="77777777" w:rsidR="008A6127" w:rsidRDefault="00437D9F">
      <w:pPr>
        <w:snapToGrid w:val="0"/>
        <w:spacing w:line="360" w:lineRule="auto"/>
        <w:ind w:firstLineChars="200" w:firstLine="480"/>
        <w:rPr>
          <w:rFonts w:ascii="宋体" w:hAnsi="宋体"/>
          <w:sz w:val="24"/>
        </w:rPr>
      </w:pPr>
      <w:r>
        <w:rPr>
          <w:rFonts w:ascii="宋体" w:hAnsi="宋体"/>
          <w:sz w:val="24"/>
        </w:rPr>
        <w:t>2、基金管理人和基金托管人处理与基金运作无关的事项发生的费用；</w:t>
      </w:r>
    </w:p>
    <w:p w14:paraId="58BDAFAD" w14:textId="77777777" w:rsidR="008A6127" w:rsidRDefault="00437D9F">
      <w:pPr>
        <w:snapToGrid w:val="0"/>
        <w:spacing w:line="360" w:lineRule="auto"/>
        <w:ind w:firstLineChars="200" w:firstLine="480"/>
        <w:rPr>
          <w:rFonts w:ascii="宋体" w:hAnsi="宋体"/>
          <w:sz w:val="24"/>
        </w:rPr>
      </w:pPr>
      <w:r>
        <w:rPr>
          <w:rFonts w:ascii="宋体" w:hAnsi="宋体"/>
          <w:sz w:val="24"/>
        </w:rPr>
        <w:t>3、《基金合同》生效前的相关费用；</w:t>
      </w:r>
    </w:p>
    <w:p w14:paraId="000965D4" w14:textId="77777777" w:rsidR="008A6127" w:rsidRDefault="00437D9F">
      <w:pPr>
        <w:snapToGrid w:val="0"/>
        <w:spacing w:line="360" w:lineRule="auto"/>
        <w:ind w:firstLineChars="200" w:firstLine="480"/>
        <w:rPr>
          <w:rFonts w:ascii="宋体" w:hAnsi="宋体"/>
          <w:sz w:val="24"/>
        </w:rPr>
      </w:pPr>
      <w:r>
        <w:rPr>
          <w:rFonts w:ascii="宋体" w:hAnsi="宋体"/>
          <w:sz w:val="24"/>
        </w:rPr>
        <w:t>4、其他根据相关法律法规及中国证监会的有关规定不得列入基金费用的项目。</w:t>
      </w:r>
      <w:bookmarkStart w:id="327" w:name="_Hlt88827255"/>
      <w:bookmarkEnd w:id="327"/>
    </w:p>
    <w:p w14:paraId="039431AA"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（四）费用调整</w:t>
      </w:r>
    </w:p>
    <w:p w14:paraId="6741EA5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基金管理人和基金托管人协商一致后，可根据基金发展情况调整基金管理费率、基金托管费率等相关费率。</w:t>
      </w:r>
    </w:p>
    <w:p w14:paraId="66C84A8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调整基金管理费率、基金托管费率，应召</w:t>
      </w:r>
      <w:proofErr w:type="gramStart"/>
      <w:r>
        <w:rPr>
          <w:rFonts w:ascii="宋体" w:hAnsi="宋体" w:hint="eastAsia"/>
          <w:sz w:val="24"/>
        </w:rPr>
        <w:t>开基金</w:t>
      </w:r>
      <w:proofErr w:type="gramEnd"/>
      <w:r>
        <w:rPr>
          <w:rFonts w:ascii="宋体" w:hAnsi="宋体" w:hint="eastAsia"/>
          <w:sz w:val="24"/>
        </w:rPr>
        <w:t>份额持有人大会审议。</w:t>
      </w:r>
    </w:p>
    <w:p w14:paraId="2CE0819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基金管理人必须于新的费率实施日前依照《信息披露办法》的有关规定在</w:t>
      </w:r>
      <w:r>
        <w:rPr>
          <w:rFonts w:ascii="宋体" w:hAnsi="宋体"/>
          <w:sz w:val="24"/>
        </w:rPr>
        <w:t>规定媒介</w:t>
      </w:r>
      <w:r>
        <w:rPr>
          <w:rFonts w:ascii="宋体" w:hAnsi="宋体" w:hint="eastAsia"/>
          <w:sz w:val="24"/>
        </w:rPr>
        <w:t>上公告。</w:t>
      </w:r>
    </w:p>
    <w:p w14:paraId="3BD7BE64" w14:textId="77777777" w:rsidR="008A6127" w:rsidRDefault="00437D9F">
      <w:pPr>
        <w:pStyle w:val="33"/>
        <w:snapToGrid w:val="0"/>
        <w:spacing w:line="360" w:lineRule="auto"/>
        <w:ind w:firstLineChars="200" w:firstLine="482"/>
        <w:rPr>
          <w:rFonts w:ascii="Cambria" w:hAnsi="Cambria"/>
          <w:b/>
          <w:sz w:val="24"/>
          <w:szCs w:val="24"/>
        </w:rPr>
      </w:pPr>
      <w:r>
        <w:rPr>
          <w:rFonts w:ascii="Cambria" w:hAnsi="Cambria" w:hint="eastAsia"/>
          <w:b/>
          <w:sz w:val="24"/>
          <w:szCs w:val="24"/>
        </w:rPr>
        <w:t>（五）</w:t>
      </w:r>
      <w:r>
        <w:rPr>
          <w:rFonts w:ascii="Cambria" w:hAnsi="Cambria"/>
          <w:b/>
          <w:sz w:val="24"/>
          <w:szCs w:val="24"/>
        </w:rPr>
        <w:t>基金税收</w:t>
      </w:r>
    </w:p>
    <w:p w14:paraId="5EAFE1EF" w14:textId="77777777" w:rsidR="008A6127" w:rsidRDefault="00437D9F">
      <w:pPr>
        <w:snapToGrid w:val="0"/>
        <w:spacing w:line="360" w:lineRule="auto"/>
        <w:ind w:firstLineChars="200" w:firstLine="480"/>
        <w:rPr>
          <w:rFonts w:ascii="宋体" w:hAnsi="宋体"/>
          <w:sz w:val="24"/>
        </w:rPr>
      </w:pPr>
      <w:r>
        <w:rPr>
          <w:rFonts w:ascii="宋体" w:hAnsi="宋体"/>
          <w:sz w:val="24"/>
        </w:rPr>
        <w:t>本基金运作过程中涉及的各纳税主体，其纳税义务按国家税收法律、法规执行。</w:t>
      </w:r>
      <w:r>
        <w:rPr>
          <w:rFonts w:ascii="宋体" w:hAnsi="宋体" w:hint="eastAsia"/>
          <w:sz w:val="24"/>
        </w:rPr>
        <w:t>基金财产投资的相关税收，由基金份额持有人承担，基金管理人或者其他扣缴义务人按照国家有关税收征收的规定代扣代缴。</w:t>
      </w:r>
    </w:p>
    <w:p w14:paraId="1C7B8556" w14:textId="77777777" w:rsidR="008A6127" w:rsidRDefault="008A6127">
      <w:pPr>
        <w:pStyle w:val="33"/>
        <w:snapToGrid w:val="0"/>
        <w:spacing w:line="360" w:lineRule="auto"/>
        <w:ind w:firstLineChars="200" w:firstLine="480"/>
        <w:rPr>
          <w:rFonts w:ascii="Cambria" w:hAnsi="Cambria"/>
          <w:sz w:val="24"/>
          <w:szCs w:val="24"/>
        </w:rPr>
      </w:pPr>
    </w:p>
    <w:p w14:paraId="49B70337"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kern w:val="0"/>
        </w:rPr>
        <w:br w:type="page"/>
      </w:r>
      <w:bookmarkStart w:id="328" w:name="_Toc421532552"/>
      <w:bookmarkStart w:id="329" w:name="_Toc360794524"/>
      <w:bookmarkStart w:id="330" w:name="_Toc12887"/>
      <w:bookmarkStart w:id="331" w:name="_Toc362455191"/>
      <w:bookmarkStart w:id="332" w:name="_Toc405455131"/>
      <w:bookmarkStart w:id="333" w:name="_Toc29090"/>
      <w:bookmarkStart w:id="334" w:name="_Toc31571"/>
      <w:bookmarkStart w:id="335" w:name="_Toc360794108"/>
      <w:bookmarkStart w:id="336" w:name="_Toc14774"/>
      <w:bookmarkStart w:id="337" w:name="_Toc6419"/>
      <w:bookmarkStart w:id="338" w:name="_Toc360793858"/>
      <w:bookmarkStart w:id="339" w:name="_Toc360794416"/>
      <w:bookmarkStart w:id="340" w:name="_Toc360793506"/>
      <w:bookmarkStart w:id="341" w:name="_Toc362533463"/>
      <w:bookmarkStart w:id="342" w:name="_Toc204678794"/>
      <w:r>
        <w:rPr>
          <w:rFonts w:ascii="Cambria" w:hAnsi="Cambria" w:hint="eastAsia"/>
          <w:sz w:val="32"/>
          <w:szCs w:val="32"/>
        </w:rPr>
        <w:lastRenderedPageBreak/>
        <w:t>基金的会计与审计</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0D03400E" w14:textId="77777777" w:rsidR="008A6127" w:rsidRDefault="00437D9F">
      <w:pPr>
        <w:snapToGrid w:val="0"/>
        <w:spacing w:line="360" w:lineRule="auto"/>
        <w:ind w:firstLineChars="200" w:firstLine="482"/>
        <w:rPr>
          <w:rFonts w:ascii="Cambria" w:hAnsi="Cambria"/>
          <w:b/>
          <w:sz w:val="24"/>
        </w:rPr>
      </w:pPr>
      <w:r>
        <w:rPr>
          <w:rFonts w:ascii="Cambria" w:hAnsi="Cambria" w:hint="eastAsia"/>
          <w:b/>
          <w:sz w:val="24"/>
        </w:rPr>
        <w:t>（一）</w:t>
      </w:r>
      <w:r>
        <w:rPr>
          <w:rFonts w:ascii="Cambria" w:hAnsi="Cambria"/>
          <w:b/>
          <w:sz w:val="24"/>
        </w:rPr>
        <w:t>基金会计政策</w:t>
      </w:r>
    </w:p>
    <w:p w14:paraId="50BD2237" w14:textId="77777777" w:rsidR="008A6127" w:rsidRDefault="00437D9F">
      <w:pPr>
        <w:snapToGrid w:val="0"/>
        <w:spacing w:line="360" w:lineRule="auto"/>
        <w:ind w:firstLineChars="200" w:firstLine="480"/>
        <w:rPr>
          <w:rFonts w:ascii="宋体" w:hAnsi="宋体"/>
          <w:sz w:val="24"/>
        </w:rPr>
      </w:pPr>
      <w:r>
        <w:rPr>
          <w:rFonts w:ascii="宋体" w:hAnsi="宋体"/>
          <w:sz w:val="24"/>
        </w:rPr>
        <w:t>1、基金管理人为本基金的基金会计责任方；</w:t>
      </w:r>
    </w:p>
    <w:p w14:paraId="02D67C9D" w14:textId="77777777" w:rsidR="008A6127" w:rsidRDefault="00437D9F">
      <w:pPr>
        <w:snapToGrid w:val="0"/>
        <w:spacing w:line="360" w:lineRule="auto"/>
        <w:ind w:firstLineChars="200" w:firstLine="480"/>
        <w:rPr>
          <w:rFonts w:ascii="宋体" w:hAnsi="宋体"/>
          <w:sz w:val="24"/>
        </w:rPr>
      </w:pPr>
      <w:r>
        <w:rPr>
          <w:rFonts w:ascii="宋体" w:hAnsi="宋体"/>
          <w:sz w:val="24"/>
        </w:rPr>
        <w:t>2、基金的会计年度为公历年度的1月1日至12月31日；</w:t>
      </w:r>
      <w:r>
        <w:rPr>
          <w:rFonts w:ascii="宋体" w:hAnsi="宋体" w:hint="eastAsia"/>
          <w:sz w:val="24"/>
        </w:rPr>
        <w:t>基金首次募集的会计年度按如下原则：如果《基金合同》生效少于</w:t>
      </w:r>
      <w:r>
        <w:rPr>
          <w:rFonts w:ascii="宋体" w:hAnsi="宋体"/>
          <w:sz w:val="24"/>
        </w:rPr>
        <w:t>2</w:t>
      </w:r>
      <w:r>
        <w:rPr>
          <w:rFonts w:ascii="宋体" w:hAnsi="宋体" w:hint="eastAsia"/>
          <w:sz w:val="24"/>
        </w:rPr>
        <w:t>个月，可以并入下一个会计年度</w:t>
      </w:r>
      <w:r>
        <w:rPr>
          <w:rFonts w:ascii="宋体" w:hAnsi="宋体"/>
          <w:sz w:val="24"/>
        </w:rPr>
        <w:t>；</w:t>
      </w:r>
    </w:p>
    <w:p w14:paraId="79774456" w14:textId="77777777" w:rsidR="008A6127" w:rsidRDefault="00437D9F">
      <w:pPr>
        <w:snapToGrid w:val="0"/>
        <w:spacing w:line="360" w:lineRule="auto"/>
        <w:ind w:firstLineChars="200" w:firstLine="480"/>
        <w:rPr>
          <w:rFonts w:ascii="宋体" w:hAnsi="宋体"/>
          <w:sz w:val="24"/>
        </w:rPr>
      </w:pPr>
      <w:r>
        <w:rPr>
          <w:rFonts w:ascii="宋体" w:hAnsi="宋体"/>
          <w:sz w:val="24"/>
        </w:rPr>
        <w:t>3、基金核算以人民币为记账本位币，以人民币元为记账单位；</w:t>
      </w:r>
    </w:p>
    <w:p w14:paraId="6F858503" w14:textId="77777777" w:rsidR="008A6127" w:rsidRDefault="00437D9F">
      <w:pPr>
        <w:snapToGrid w:val="0"/>
        <w:spacing w:line="360" w:lineRule="auto"/>
        <w:ind w:firstLineChars="200" w:firstLine="480"/>
        <w:rPr>
          <w:rFonts w:ascii="宋体" w:hAnsi="宋体"/>
          <w:sz w:val="24"/>
        </w:rPr>
      </w:pPr>
      <w:r>
        <w:rPr>
          <w:rFonts w:ascii="宋体" w:hAnsi="宋体"/>
          <w:sz w:val="24"/>
        </w:rPr>
        <w:t>4、会计制度执行国家有关会计制度；</w:t>
      </w:r>
    </w:p>
    <w:p w14:paraId="704CB8E7" w14:textId="77777777" w:rsidR="008A6127" w:rsidRDefault="00437D9F">
      <w:pPr>
        <w:snapToGrid w:val="0"/>
        <w:spacing w:line="360" w:lineRule="auto"/>
        <w:ind w:firstLineChars="200" w:firstLine="480"/>
        <w:rPr>
          <w:rFonts w:ascii="宋体" w:hAnsi="宋体"/>
          <w:sz w:val="24"/>
        </w:rPr>
      </w:pPr>
      <w:r>
        <w:rPr>
          <w:rFonts w:ascii="宋体" w:hAnsi="宋体"/>
          <w:sz w:val="24"/>
        </w:rPr>
        <w:t>5、本基金独立建账、独立核算；</w:t>
      </w:r>
    </w:p>
    <w:p w14:paraId="4A5E56A6" w14:textId="77777777" w:rsidR="008A6127" w:rsidRDefault="00437D9F">
      <w:pPr>
        <w:snapToGrid w:val="0"/>
        <w:spacing w:line="360" w:lineRule="auto"/>
        <w:ind w:firstLineChars="200" w:firstLine="480"/>
        <w:rPr>
          <w:rFonts w:ascii="宋体" w:hAnsi="宋体"/>
          <w:sz w:val="24"/>
        </w:rPr>
      </w:pPr>
      <w:r>
        <w:rPr>
          <w:rFonts w:ascii="宋体" w:hAnsi="宋体"/>
          <w:sz w:val="24"/>
        </w:rPr>
        <w:t>6、基金管理人及基金托管人各自保留完整的会计账目、凭证并进行日常的会计核算，按照有关规定编制基金会计报表；</w:t>
      </w:r>
    </w:p>
    <w:p w14:paraId="202F0B54" w14:textId="77777777" w:rsidR="008A6127" w:rsidRDefault="00437D9F">
      <w:pPr>
        <w:snapToGrid w:val="0"/>
        <w:spacing w:line="360" w:lineRule="auto"/>
        <w:ind w:firstLineChars="200" w:firstLine="480"/>
        <w:rPr>
          <w:rFonts w:ascii="宋体" w:hAnsi="宋体"/>
          <w:sz w:val="24"/>
        </w:rPr>
      </w:pPr>
      <w:r>
        <w:rPr>
          <w:rFonts w:ascii="宋体" w:hAnsi="宋体"/>
          <w:sz w:val="24"/>
        </w:rPr>
        <w:t>7、基金托管人每月与基金管理人就基金的会计核算、报表编制等进行核对</w:t>
      </w:r>
      <w:r>
        <w:rPr>
          <w:rFonts w:ascii="宋体" w:hAnsi="宋体" w:hint="eastAsia"/>
          <w:sz w:val="24"/>
        </w:rPr>
        <w:t>并以书面或双方约定的其他方式</w:t>
      </w:r>
      <w:r>
        <w:rPr>
          <w:rFonts w:ascii="宋体" w:hAnsi="宋体"/>
          <w:sz w:val="24"/>
        </w:rPr>
        <w:t>确认。</w:t>
      </w:r>
    </w:p>
    <w:p w14:paraId="47D25401" w14:textId="77777777" w:rsidR="008A6127" w:rsidRDefault="00437D9F">
      <w:pPr>
        <w:snapToGrid w:val="0"/>
        <w:spacing w:line="360" w:lineRule="auto"/>
        <w:ind w:firstLineChars="200" w:firstLine="482"/>
        <w:rPr>
          <w:rFonts w:ascii="Cambria" w:hAnsi="Cambria"/>
          <w:b/>
          <w:sz w:val="24"/>
        </w:rPr>
      </w:pPr>
      <w:r>
        <w:rPr>
          <w:rFonts w:ascii="Cambria" w:hAnsi="Cambria" w:hint="eastAsia"/>
          <w:b/>
          <w:sz w:val="24"/>
        </w:rPr>
        <w:t>（二）</w:t>
      </w:r>
      <w:r>
        <w:rPr>
          <w:rFonts w:ascii="Cambria" w:hAnsi="Cambria"/>
          <w:b/>
          <w:sz w:val="24"/>
        </w:rPr>
        <w:t>基金的年度审计</w:t>
      </w:r>
    </w:p>
    <w:p w14:paraId="6AED96EF" w14:textId="77777777" w:rsidR="008A6127" w:rsidRDefault="00437D9F">
      <w:pPr>
        <w:snapToGrid w:val="0"/>
        <w:spacing w:line="360" w:lineRule="auto"/>
        <w:ind w:firstLineChars="200" w:firstLine="480"/>
        <w:rPr>
          <w:rFonts w:ascii="宋体" w:hAnsi="宋体"/>
          <w:sz w:val="24"/>
        </w:rPr>
      </w:pPr>
      <w:r>
        <w:rPr>
          <w:rFonts w:ascii="宋体" w:hAnsi="宋体"/>
          <w:sz w:val="24"/>
        </w:rPr>
        <w:t>1、基金管理人聘请与基金管理人、基金托管人相互独立的具有证券</w:t>
      </w:r>
      <w:r>
        <w:rPr>
          <w:rFonts w:ascii="宋体" w:hAnsi="宋体" w:hint="eastAsia"/>
          <w:sz w:val="24"/>
        </w:rPr>
        <w:t>、期货相关业务资格</w:t>
      </w:r>
      <w:r>
        <w:rPr>
          <w:rFonts w:ascii="宋体" w:hAnsi="宋体"/>
          <w:sz w:val="24"/>
        </w:rPr>
        <w:t>的会计师事务所及其注册会计师对本基金的年度财务报表进行审计。</w:t>
      </w:r>
    </w:p>
    <w:p w14:paraId="37C4303B" w14:textId="77777777" w:rsidR="008A6127" w:rsidRDefault="00437D9F">
      <w:pPr>
        <w:snapToGrid w:val="0"/>
        <w:spacing w:line="360" w:lineRule="auto"/>
        <w:ind w:firstLineChars="200" w:firstLine="480"/>
        <w:rPr>
          <w:rFonts w:ascii="宋体" w:hAnsi="宋体"/>
          <w:sz w:val="24"/>
        </w:rPr>
      </w:pPr>
      <w:r>
        <w:rPr>
          <w:rFonts w:ascii="宋体" w:hAnsi="宋体"/>
          <w:sz w:val="24"/>
        </w:rPr>
        <w:t>2、会计师事务所更换经办注册会计师，应事先征得基金管理人同意。</w:t>
      </w:r>
    </w:p>
    <w:p w14:paraId="7C7B265D" w14:textId="77777777" w:rsidR="008A6127" w:rsidRDefault="00437D9F">
      <w:pPr>
        <w:snapToGrid w:val="0"/>
        <w:spacing w:line="360" w:lineRule="auto"/>
        <w:ind w:firstLineChars="200" w:firstLine="480"/>
        <w:rPr>
          <w:rFonts w:ascii="宋体" w:hAnsi="宋体"/>
          <w:sz w:val="24"/>
        </w:rPr>
      </w:pPr>
      <w:r>
        <w:rPr>
          <w:rFonts w:ascii="宋体" w:hAnsi="宋体"/>
          <w:sz w:val="24"/>
        </w:rPr>
        <w:t>3、</w:t>
      </w:r>
      <w:bookmarkStart w:id="343" w:name="_Hlt4221115"/>
      <w:bookmarkEnd w:id="343"/>
      <w:r>
        <w:rPr>
          <w:rFonts w:ascii="宋体" w:hAnsi="宋体"/>
          <w:sz w:val="24"/>
        </w:rPr>
        <w:t>基金管理人认为有充足理由更换会计师事务所，须通报基金托管人。更换会计师事务</w:t>
      </w:r>
      <w:r>
        <w:rPr>
          <w:rFonts w:ascii="宋体" w:hAnsi="宋体" w:hint="eastAsia"/>
          <w:sz w:val="24"/>
        </w:rPr>
        <w:t>所需在</w:t>
      </w:r>
      <w:r>
        <w:rPr>
          <w:rFonts w:ascii="宋体" w:hAnsi="宋体"/>
          <w:sz w:val="24"/>
        </w:rPr>
        <w:t>2</w:t>
      </w:r>
      <w:r>
        <w:rPr>
          <w:rFonts w:ascii="宋体" w:hAnsi="宋体" w:hint="eastAsia"/>
          <w:sz w:val="24"/>
        </w:rPr>
        <w:t>日内在</w:t>
      </w:r>
      <w:r>
        <w:rPr>
          <w:rFonts w:ascii="宋体" w:hAnsi="宋体"/>
          <w:sz w:val="24"/>
        </w:rPr>
        <w:t>规定媒介公告。</w:t>
      </w:r>
    </w:p>
    <w:p w14:paraId="1B7BC34F" w14:textId="77777777" w:rsidR="008A6127" w:rsidRDefault="008A6127">
      <w:pPr>
        <w:snapToGrid w:val="0"/>
        <w:spacing w:line="360" w:lineRule="auto"/>
        <w:ind w:firstLineChars="200" w:firstLine="480"/>
        <w:rPr>
          <w:rFonts w:ascii="Cambria" w:hAnsi="Cambria"/>
          <w:sz w:val="24"/>
        </w:rPr>
      </w:pPr>
    </w:p>
    <w:p w14:paraId="76007B8C"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kern w:val="0"/>
        </w:rPr>
        <w:br w:type="page"/>
      </w:r>
      <w:bookmarkStart w:id="344" w:name="_Toc405455132"/>
      <w:bookmarkStart w:id="345" w:name="_Toc15221"/>
      <w:bookmarkStart w:id="346" w:name="_Toc362533464"/>
      <w:bookmarkStart w:id="347" w:name="_Toc360794417"/>
      <w:bookmarkStart w:id="348" w:name="_Toc24815"/>
      <w:bookmarkStart w:id="349" w:name="_Toc360793507"/>
      <w:bookmarkStart w:id="350" w:name="_Toc360794109"/>
      <w:bookmarkStart w:id="351" w:name="_Toc362455192"/>
      <w:bookmarkStart w:id="352" w:name="_Toc421532553"/>
      <w:bookmarkStart w:id="353" w:name="_Toc22517"/>
      <w:bookmarkStart w:id="354" w:name="_Toc20669"/>
      <w:bookmarkStart w:id="355" w:name="_Toc360794525"/>
      <w:bookmarkStart w:id="356" w:name="_Toc360793859"/>
      <w:bookmarkStart w:id="357" w:name="_Toc28810"/>
      <w:bookmarkStart w:id="358" w:name="_Toc204678795"/>
      <w:r>
        <w:rPr>
          <w:rFonts w:ascii="Cambria" w:hAnsi="Cambria" w:hint="eastAsia"/>
          <w:sz w:val="32"/>
          <w:szCs w:val="32"/>
        </w:rPr>
        <w:lastRenderedPageBreak/>
        <w:t>基金的信息披露</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0B909F80"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（一）信息披露的基本要求</w:t>
      </w:r>
    </w:p>
    <w:p w14:paraId="4643ABDE" w14:textId="77777777" w:rsidR="008A6127" w:rsidRDefault="00437D9F">
      <w:pPr>
        <w:snapToGrid w:val="0"/>
        <w:spacing w:line="360" w:lineRule="auto"/>
        <w:ind w:firstLineChars="200" w:firstLine="480"/>
        <w:rPr>
          <w:rFonts w:ascii="宋体" w:hAnsi="宋体"/>
          <w:sz w:val="24"/>
        </w:rPr>
      </w:pPr>
      <w:bookmarkStart w:id="359" w:name="_Hlk1131601"/>
      <w:r>
        <w:rPr>
          <w:rFonts w:ascii="宋体" w:hAnsi="宋体"/>
          <w:sz w:val="24"/>
        </w:rPr>
        <w:t>本基金的信息披露应符合《基金法》、《运作办法》、《信息披露办法》、</w:t>
      </w:r>
      <w:r>
        <w:rPr>
          <w:rFonts w:ascii="宋体" w:hAnsi="宋体" w:hint="eastAsia"/>
          <w:sz w:val="24"/>
        </w:rPr>
        <w:t>《流动性风险管理规定》、</w:t>
      </w:r>
      <w:r>
        <w:rPr>
          <w:rFonts w:ascii="宋体" w:hAnsi="宋体"/>
          <w:sz w:val="24"/>
        </w:rPr>
        <w:t>《基金合同》及其他有关规定。</w:t>
      </w:r>
      <w:bookmarkEnd w:id="359"/>
      <w:r>
        <w:rPr>
          <w:rFonts w:ascii="宋体" w:hAnsi="宋体" w:hint="eastAsia"/>
          <w:sz w:val="24"/>
        </w:rPr>
        <w:t>相关法律法规关于信息披露的披露方式、登载媒介、报备方式等规定发生变化时，本基金从其最新规定，无需经基金份额持有人大会审议。</w:t>
      </w:r>
    </w:p>
    <w:p w14:paraId="2D255098"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（二）信息披露义务人</w:t>
      </w:r>
    </w:p>
    <w:p w14:paraId="0B91B51C" w14:textId="77777777" w:rsidR="008A6127" w:rsidRDefault="00437D9F">
      <w:pPr>
        <w:snapToGrid w:val="0"/>
        <w:spacing w:line="360" w:lineRule="auto"/>
        <w:ind w:firstLineChars="200" w:firstLine="480"/>
        <w:rPr>
          <w:rFonts w:ascii="宋体" w:hAnsi="宋体"/>
          <w:sz w:val="24"/>
        </w:rPr>
      </w:pPr>
      <w:bookmarkStart w:id="360" w:name="_Hlk1131613"/>
      <w:r>
        <w:rPr>
          <w:rFonts w:ascii="宋体" w:hAnsi="宋体"/>
          <w:sz w:val="24"/>
        </w:rPr>
        <w:t>本基金信息披露义务人包括基金管理人、基金托管人、召集基金份额持有人大会的基金份额持有人等法律法规和中国证监会规定的自然人、法人和</w:t>
      </w:r>
      <w:r>
        <w:rPr>
          <w:rFonts w:ascii="宋体" w:hAnsi="宋体" w:hint="eastAsia"/>
          <w:sz w:val="24"/>
        </w:rPr>
        <w:t>非法人</w:t>
      </w:r>
      <w:r>
        <w:rPr>
          <w:rFonts w:ascii="宋体" w:hAnsi="宋体"/>
          <w:sz w:val="24"/>
        </w:rPr>
        <w:t>组织。</w:t>
      </w:r>
    </w:p>
    <w:p w14:paraId="6FDD9723" w14:textId="77777777" w:rsidR="008A6127" w:rsidRDefault="00437D9F">
      <w:pPr>
        <w:snapToGrid w:val="0"/>
        <w:spacing w:line="360" w:lineRule="auto"/>
        <w:ind w:firstLineChars="200" w:firstLine="480"/>
        <w:rPr>
          <w:rFonts w:ascii="宋体" w:hAnsi="宋体"/>
          <w:sz w:val="24"/>
        </w:rPr>
      </w:pPr>
      <w:r>
        <w:rPr>
          <w:rFonts w:ascii="宋体" w:hAnsi="宋体"/>
          <w:sz w:val="24"/>
        </w:rPr>
        <w:t>本基金信息披露义务人</w:t>
      </w:r>
      <w:r>
        <w:rPr>
          <w:rFonts w:ascii="宋体" w:hAnsi="宋体" w:hint="eastAsia"/>
          <w:sz w:val="24"/>
        </w:rPr>
        <w:t>以保护基金份额持有人利益为根本出发点，</w:t>
      </w:r>
      <w:r>
        <w:rPr>
          <w:rFonts w:ascii="宋体" w:hAnsi="宋体"/>
          <w:sz w:val="24"/>
        </w:rPr>
        <w:t>按照法律法规和中国证监会的规定披露基金信息，并保证所披露信息的真实性、准确性</w:t>
      </w:r>
      <w:r>
        <w:rPr>
          <w:rFonts w:ascii="宋体" w:hAnsi="宋体" w:hint="eastAsia"/>
          <w:sz w:val="24"/>
        </w:rPr>
        <w:t>、</w:t>
      </w:r>
      <w:r>
        <w:rPr>
          <w:rFonts w:ascii="宋体" w:hAnsi="宋体"/>
          <w:sz w:val="24"/>
        </w:rPr>
        <w:t>完整性</w:t>
      </w:r>
      <w:r>
        <w:rPr>
          <w:rFonts w:ascii="宋体" w:hAnsi="宋体" w:hint="eastAsia"/>
          <w:sz w:val="24"/>
        </w:rPr>
        <w:t>、及时性、简明性和易得性</w:t>
      </w:r>
      <w:r>
        <w:rPr>
          <w:rFonts w:ascii="宋体" w:hAnsi="宋体"/>
          <w:sz w:val="24"/>
        </w:rPr>
        <w:t>。</w:t>
      </w:r>
    </w:p>
    <w:p w14:paraId="22FBFAC0" w14:textId="77777777" w:rsidR="008A6127" w:rsidRDefault="00437D9F">
      <w:pPr>
        <w:snapToGrid w:val="0"/>
        <w:spacing w:line="360" w:lineRule="auto"/>
        <w:ind w:firstLineChars="200" w:firstLine="480"/>
        <w:rPr>
          <w:rFonts w:ascii="宋体" w:hAnsi="宋体"/>
          <w:sz w:val="24"/>
        </w:rPr>
      </w:pPr>
      <w:r>
        <w:rPr>
          <w:rFonts w:ascii="宋体" w:hAnsi="宋体"/>
          <w:sz w:val="24"/>
        </w:rPr>
        <w:t>本基金信息披露义务人应当在中国证监会规定时间内，将应予披露的基金信息通过中国证监会规定媒介披露，并保证基金投资者能够按照《基金合同》约定的时间和方式查阅或者复制公开披露的信息资料。</w:t>
      </w:r>
      <w:bookmarkEnd w:id="360"/>
    </w:p>
    <w:p w14:paraId="37CF53EB"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（三）信息披露义务人公开披露基金信息的禁止行为</w:t>
      </w:r>
    </w:p>
    <w:p w14:paraId="27D332BE" w14:textId="77777777" w:rsidR="008A6127" w:rsidRDefault="00437D9F">
      <w:pPr>
        <w:snapToGrid w:val="0"/>
        <w:spacing w:line="360" w:lineRule="auto"/>
        <w:ind w:firstLineChars="200" w:firstLine="480"/>
        <w:rPr>
          <w:rFonts w:ascii="宋体" w:hAnsi="宋体"/>
          <w:sz w:val="24"/>
        </w:rPr>
      </w:pPr>
      <w:bookmarkStart w:id="361" w:name="_Hlk1131631"/>
      <w:r>
        <w:rPr>
          <w:rFonts w:ascii="宋体" w:hAnsi="宋体"/>
          <w:sz w:val="24"/>
        </w:rPr>
        <w:t>本基金信息披露义务人承诺公开披露的基金信息，不得有下列行为：</w:t>
      </w:r>
    </w:p>
    <w:p w14:paraId="6C4E6ABA" w14:textId="77777777" w:rsidR="008A6127" w:rsidRDefault="00437D9F">
      <w:pPr>
        <w:snapToGrid w:val="0"/>
        <w:spacing w:line="360" w:lineRule="auto"/>
        <w:ind w:firstLineChars="200" w:firstLine="480"/>
        <w:rPr>
          <w:rFonts w:ascii="宋体" w:hAnsi="宋体"/>
          <w:sz w:val="24"/>
        </w:rPr>
      </w:pPr>
      <w:r>
        <w:rPr>
          <w:rFonts w:ascii="宋体" w:hAnsi="宋体"/>
          <w:sz w:val="24"/>
        </w:rPr>
        <w:t>1、虚假记载、误导性陈述或者重大遗漏；</w:t>
      </w:r>
    </w:p>
    <w:p w14:paraId="17615B42" w14:textId="77777777" w:rsidR="008A6127" w:rsidRDefault="00437D9F">
      <w:pPr>
        <w:snapToGrid w:val="0"/>
        <w:spacing w:line="360" w:lineRule="auto"/>
        <w:ind w:firstLineChars="200" w:firstLine="480"/>
        <w:rPr>
          <w:rFonts w:ascii="宋体" w:hAnsi="宋体"/>
          <w:sz w:val="24"/>
        </w:rPr>
      </w:pPr>
      <w:r>
        <w:rPr>
          <w:rFonts w:ascii="宋体" w:hAnsi="宋体"/>
          <w:sz w:val="24"/>
        </w:rPr>
        <w:t>2、对证券投资业绩进行预测；</w:t>
      </w:r>
    </w:p>
    <w:p w14:paraId="0CF6A5DB" w14:textId="77777777" w:rsidR="008A6127" w:rsidRDefault="00437D9F">
      <w:pPr>
        <w:snapToGrid w:val="0"/>
        <w:spacing w:line="360" w:lineRule="auto"/>
        <w:ind w:firstLineChars="200" w:firstLine="480"/>
        <w:rPr>
          <w:rFonts w:ascii="宋体" w:hAnsi="宋体"/>
          <w:sz w:val="24"/>
        </w:rPr>
      </w:pPr>
      <w:r>
        <w:rPr>
          <w:rFonts w:ascii="宋体" w:hAnsi="宋体"/>
          <w:sz w:val="24"/>
        </w:rPr>
        <w:t>3、违规承诺收益或者承担损失；</w:t>
      </w:r>
    </w:p>
    <w:p w14:paraId="6D4582D8" w14:textId="77777777" w:rsidR="008A6127" w:rsidRDefault="00437D9F">
      <w:pPr>
        <w:snapToGrid w:val="0"/>
        <w:spacing w:line="360" w:lineRule="auto"/>
        <w:ind w:firstLineChars="200" w:firstLine="480"/>
        <w:rPr>
          <w:rFonts w:ascii="宋体" w:hAnsi="宋体"/>
          <w:sz w:val="24"/>
        </w:rPr>
      </w:pPr>
      <w:r>
        <w:rPr>
          <w:rFonts w:ascii="宋体" w:hAnsi="宋体"/>
          <w:sz w:val="24"/>
        </w:rPr>
        <w:t>4、诋毁其他基金管理人、基金托管人或者基金销售机构；</w:t>
      </w:r>
    </w:p>
    <w:p w14:paraId="1EB992D4" w14:textId="77777777" w:rsidR="008A6127" w:rsidRDefault="00437D9F">
      <w:pPr>
        <w:snapToGrid w:val="0"/>
        <w:spacing w:line="360" w:lineRule="auto"/>
        <w:ind w:firstLineChars="200" w:firstLine="480"/>
        <w:rPr>
          <w:rFonts w:ascii="宋体" w:hAnsi="宋体"/>
          <w:sz w:val="24"/>
        </w:rPr>
      </w:pPr>
      <w:r>
        <w:rPr>
          <w:rFonts w:ascii="宋体" w:hAnsi="宋体"/>
          <w:sz w:val="24"/>
        </w:rPr>
        <w:t>5、登载任何自然人、法人或者</w:t>
      </w:r>
      <w:r>
        <w:rPr>
          <w:rFonts w:ascii="宋体" w:hAnsi="宋体" w:hint="eastAsia"/>
          <w:sz w:val="24"/>
        </w:rPr>
        <w:t>和非法人</w:t>
      </w:r>
      <w:r>
        <w:rPr>
          <w:rFonts w:ascii="宋体" w:hAnsi="宋体"/>
          <w:sz w:val="24"/>
        </w:rPr>
        <w:t>组织的祝贺性、恭维性或推荐性的文字；</w:t>
      </w:r>
    </w:p>
    <w:p w14:paraId="50429A51" w14:textId="77777777" w:rsidR="008A6127" w:rsidRDefault="00437D9F">
      <w:pPr>
        <w:snapToGrid w:val="0"/>
        <w:spacing w:line="360" w:lineRule="auto"/>
        <w:ind w:firstLineChars="200" w:firstLine="480"/>
        <w:rPr>
          <w:rFonts w:ascii="宋体" w:hAnsi="宋体"/>
          <w:sz w:val="24"/>
        </w:rPr>
      </w:pPr>
      <w:r>
        <w:rPr>
          <w:rFonts w:ascii="宋体" w:hAnsi="宋体"/>
          <w:sz w:val="24"/>
        </w:rPr>
        <w:t>6、中国证监会禁止的其他行为。</w:t>
      </w:r>
      <w:bookmarkEnd w:id="361"/>
    </w:p>
    <w:p w14:paraId="26270452"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（四）信息披露文本规范</w:t>
      </w:r>
    </w:p>
    <w:p w14:paraId="41DD9109" w14:textId="77777777" w:rsidR="008A6127" w:rsidRDefault="00437D9F">
      <w:pPr>
        <w:snapToGrid w:val="0"/>
        <w:spacing w:line="360" w:lineRule="auto"/>
        <w:ind w:firstLineChars="200" w:firstLine="480"/>
        <w:rPr>
          <w:rFonts w:ascii="宋体" w:hAnsi="宋体"/>
          <w:sz w:val="24"/>
        </w:rPr>
      </w:pPr>
      <w:bookmarkStart w:id="362" w:name="_Hlk1131642"/>
      <w:r>
        <w:rPr>
          <w:rFonts w:ascii="宋体" w:hAnsi="宋体"/>
          <w:sz w:val="24"/>
        </w:rPr>
        <w:t>本基金公开披露的信息应采用中文文本。如同时采用外文文本的，基金信息披露义务人应保证</w:t>
      </w:r>
      <w:r>
        <w:rPr>
          <w:rFonts w:ascii="宋体" w:hAnsi="宋体" w:hint="eastAsia"/>
          <w:sz w:val="24"/>
        </w:rPr>
        <w:t>不同</w:t>
      </w:r>
      <w:r>
        <w:rPr>
          <w:rFonts w:ascii="宋体" w:hAnsi="宋体"/>
          <w:sz w:val="24"/>
        </w:rPr>
        <w:t>文本的内容一致。</w:t>
      </w:r>
      <w:r>
        <w:rPr>
          <w:rFonts w:ascii="宋体" w:hAnsi="宋体" w:hint="eastAsia"/>
          <w:sz w:val="24"/>
        </w:rPr>
        <w:t>不同</w:t>
      </w:r>
      <w:r>
        <w:rPr>
          <w:rFonts w:ascii="宋体" w:hAnsi="宋体"/>
          <w:sz w:val="24"/>
        </w:rPr>
        <w:t>文本</w:t>
      </w:r>
      <w:r>
        <w:rPr>
          <w:rFonts w:ascii="宋体" w:hAnsi="宋体" w:hint="eastAsia"/>
          <w:sz w:val="24"/>
        </w:rPr>
        <w:t>之间</w:t>
      </w:r>
      <w:r>
        <w:rPr>
          <w:rFonts w:ascii="宋体" w:hAnsi="宋体"/>
          <w:sz w:val="24"/>
        </w:rPr>
        <w:t>发生歧义的，以中文文本为准。</w:t>
      </w:r>
    </w:p>
    <w:p w14:paraId="6C11D88A"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本基金公开披露的信息采用阿拉伯数字；除特别说明外，货币单位为人民币元。</w:t>
      </w:r>
      <w:bookmarkEnd w:id="362"/>
    </w:p>
    <w:p w14:paraId="03AD10E9"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（五）公开披露的基金信息</w:t>
      </w:r>
    </w:p>
    <w:p w14:paraId="216E67FA" w14:textId="77777777" w:rsidR="008A6127" w:rsidRDefault="00437D9F">
      <w:pPr>
        <w:snapToGrid w:val="0"/>
        <w:spacing w:line="360" w:lineRule="auto"/>
        <w:ind w:firstLineChars="200" w:firstLine="480"/>
        <w:rPr>
          <w:rFonts w:ascii="宋体" w:hAnsi="宋体"/>
          <w:sz w:val="24"/>
        </w:rPr>
      </w:pPr>
      <w:bookmarkStart w:id="363" w:name="_Hlk1131699"/>
      <w:r>
        <w:rPr>
          <w:rFonts w:ascii="宋体" w:hAnsi="宋体"/>
          <w:sz w:val="24"/>
        </w:rPr>
        <w:t>公开披露的基金信息包括：</w:t>
      </w:r>
    </w:p>
    <w:p w14:paraId="2397B78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基金招募说明书、</w:t>
      </w:r>
      <w:r>
        <w:rPr>
          <w:rFonts w:ascii="宋体" w:hAnsi="宋体" w:hint="eastAsia"/>
          <w:sz w:val="24"/>
        </w:rPr>
        <w:t>基金产品资料概要、</w:t>
      </w:r>
      <w:r>
        <w:rPr>
          <w:rFonts w:ascii="宋体" w:hAnsi="宋体"/>
          <w:sz w:val="24"/>
        </w:rPr>
        <w:t>《基金合同》、基金托管协议</w:t>
      </w:r>
    </w:p>
    <w:p w14:paraId="0E68FB2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《基金合同》是界定《基金合同》当事人的各项权利、义务关系，明确基金份额持有人大会召开的规则及具体程序，说明基金产品的特性等涉及基金投资者重大利益的事项的法律文件。</w:t>
      </w:r>
    </w:p>
    <w:p w14:paraId="6C78E99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基金招募说明书应当最大限度地披露影响基金投资者决策的全部事项，说明基金认购、申购和赎回安排、基金投资、基金产品特性、风险揭示、信息披露及基金份额持有人服务等内容。</w:t>
      </w:r>
    </w:p>
    <w:p w14:paraId="75A5B2B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（3）基金产品资料概要</w:t>
      </w:r>
      <w:proofErr w:type="gramStart"/>
      <w:r>
        <w:rPr>
          <w:rFonts w:ascii="宋体" w:hAnsi="宋体" w:hint="eastAsia"/>
          <w:sz w:val="24"/>
        </w:rPr>
        <w:t>系基金</w:t>
      </w:r>
      <w:proofErr w:type="gramEnd"/>
      <w:r>
        <w:rPr>
          <w:rFonts w:ascii="宋体" w:hAnsi="宋体" w:hint="eastAsia"/>
          <w:sz w:val="24"/>
        </w:rPr>
        <w:t>招募说明书的摘要文件，用于向投资者提供简明的基金概要信息。</w:t>
      </w:r>
    </w:p>
    <w:p w14:paraId="70C73D7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合同》生效后，基金招募说明书、基金产品资料概要的信息发生重大变更的，基金管理人应当在三个工作日内，更新基金招募说明书、基金产品资料概要，并登载在指定网站上，并将基金产品资料概要登载在基金销售机构网站或营业网点。</w:t>
      </w:r>
    </w:p>
    <w:p w14:paraId="268D4C8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前款规定的重大变更主要包括：</w:t>
      </w:r>
    </w:p>
    <w:p w14:paraId="15BEAD18" w14:textId="77777777" w:rsidR="008A6127" w:rsidRDefault="00437D9F">
      <w:pPr>
        <w:snapToGrid w:val="0"/>
        <w:spacing w:line="360" w:lineRule="auto"/>
        <w:ind w:firstLineChars="200" w:firstLine="480"/>
        <w:rPr>
          <w:rFonts w:ascii="宋体" w:hAnsi="宋体"/>
          <w:sz w:val="24"/>
        </w:rPr>
      </w:pPr>
      <w:r>
        <w:rPr>
          <w:rFonts w:ascii="宋体" w:hAnsi="宋体"/>
          <w:sz w:val="24"/>
        </w:rPr>
        <w:t>1）《基金合同》、基金托管协议相关内容发生变更；</w:t>
      </w:r>
    </w:p>
    <w:p w14:paraId="4F032C76" w14:textId="77777777" w:rsidR="008A6127" w:rsidRDefault="00437D9F">
      <w:pPr>
        <w:snapToGrid w:val="0"/>
        <w:spacing w:line="360" w:lineRule="auto"/>
        <w:ind w:firstLineChars="200" w:firstLine="480"/>
        <w:rPr>
          <w:rFonts w:ascii="宋体" w:hAnsi="宋体"/>
          <w:sz w:val="24"/>
        </w:rPr>
      </w:pPr>
      <w:r>
        <w:rPr>
          <w:rFonts w:ascii="宋体" w:hAnsi="宋体"/>
          <w:sz w:val="24"/>
        </w:rPr>
        <w:t>2）变更基金简称（含场内简称）、基金代码（含场内代码）；</w:t>
      </w:r>
    </w:p>
    <w:p w14:paraId="47CD944B" w14:textId="77777777" w:rsidR="008A6127" w:rsidRDefault="00437D9F">
      <w:pPr>
        <w:snapToGrid w:val="0"/>
        <w:spacing w:line="360" w:lineRule="auto"/>
        <w:ind w:firstLineChars="200" w:firstLine="480"/>
        <w:rPr>
          <w:rFonts w:ascii="宋体" w:hAnsi="宋体"/>
          <w:sz w:val="24"/>
        </w:rPr>
      </w:pPr>
      <w:r>
        <w:rPr>
          <w:rFonts w:ascii="宋体" w:hAnsi="宋体"/>
          <w:sz w:val="24"/>
        </w:rPr>
        <w:t>3）变更基金管理人、基金托管人的法定名称；</w:t>
      </w:r>
    </w:p>
    <w:p w14:paraId="34BECA87" w14:textId="77777777" w:rsidR="008A6127" w:rsidRDefault="00437D9F">
      <w:pPr>
        <w:snapToGrid w:val="0"/>
        <w:spacing w:line="360" w:lineRule="auto"/>
        <w:ind w:firstLineChars="200" w:firstLine="480"/>
        <w:rPr>
          <w:rFonts w:ascii="宋体" w:hAnsi="宋体"/>
          <w:sz w:val="24"/>
        </w:rPr>
      </w:pPr>
      <w:r>
        <w:rPr>
          <w:rFonts w:ascii="宋体" w:hAnsi="宋体"/>
          <w:sz w:val="24"/>
        </w:rPr>
        <w:t>4）变更基金经理；</w:t>
      </w:r>
    </w:p>
    <w:p w14:paraId="166C693F" w14:textId="77777777" w:rsidR="008A6127" w:rsidRDefault="00437D9F">
      <w:pPr>
        <w:snapToGrid w:val="0"/>
        <w:spacing w:line="360" w:lineRule="auto"/>
        <w:ind w:firstLineChars="200" w:firstLine="480"/>
        <w:rPr>
          <w:rFonts w:ascii="宋体" w:hAnsi="宋体"/>
          <w:sz w:val="24"/>
        </w:rPr>
      </w:pPr>
      <w:r>
        <w:rPr>
          <w:rFonts w:ascii="宋体" w:hAnsi="宋体"/>
          <w:sz w:val="24"/>
        </w:rPr>
        <w:t>5）变更认购费、申购费、赎回费等费率；</w:t>
      </w:r>
    </w:p>
    <w:p w14:paraId="580E654F" w14:textId="77777777" w:rsidR="008A6127" w:rsidRDefault="00437D9F">
      <w:pPr>
        <w:snapToGrid w:val="0"/>
        <w:spacing w:line="360" w:lineRule="auto"/>
        <w:ind w:firstLineChars="200" w:firstLine="480"/>
        <w:rPr>
          <w:rFonts w:ascii="宋体" w:hAnsi="宋体"/>
          <w:sz w:val="24"/>
        </w:rPr>
      </w:pPr>
      <w:r>
        <w:rPr>
          <w:rFonts w:ascii="宋体" w:hAnsi="宋体"/>
          <w:sz w:val="24"/>
        </w:rPr>
        <w:t>6）其他对投资者有重大影响的事项。</w:t>
      </w:r>
    </w:p>
    <w:p w14:paraId="3B51763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除上述事项之外，基金招募说明书、基金产品资料概要其他信息发生变更的，基金管理人至少每年更新一次。</w:t>
      </w:r>
    </w:p>
    <w:p w14:paraId="3F31191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《基金合同》终止的，除《基金合同》另有约定外，基金管理人可以不再更新基金招募说明书、基金产品资料概要。</w:t>
      </w:r>
    </w:p>
    <w:p w14:paraId="599D2E0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5</w:t>
      </w:r>
      <w:r>
        <w:rPr>
          <w:rFonts w:ascii="宋体" w:hAnsi="宋体" w:hint="eastAsia"/>
          <w:sz w:val="24"/>
        </w:rPr>
        <w:t>）</w:t>
      </w:r>
      <w:r>
        <w:rPr>
          <w:rFonts w:ascii="宋体" w:hAnsi="宋体"/>
          <w:sz w:val="24"/>
        </w:rPr>
        <w:t>基金托管协议是界定基金托管人和基金管理人在基金财产保管及基金运作监督等活动中的权利、义务关系的法律文件。</w:t>
      </w:r>
    </w:p>
    <w:p w14:paraId="7DFC6B41"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基金募集申请经中国证监会</w:t>
      </w:r>
      <w:r>
        <w:rPr>
          <w:rFonts w:ascii="宋体" w:hAnsi="宋体" w:hint="eastAsia"/>
          <w:sz w:val="24"/>
        </w:rPr>
        <w:t>注册</w:t>
      </w:r>
      <w:r>
        <w:rPr>
          <w:rFonts w:ascii="宋体" w:hAnsi="宋体"/>
          <w:sz w:val="24"/>
        </w:rPr>
        <w:t>后，基金管理人在基金份额发售的3日前，</w:t>
      </w:r>
      <w:r>
        <w:rPr>
          <w:rFonts w:ascii="宋体" w:hAnsi="宋体" w:hint="eastAsia"/>
          <w:sz w:val="24"/>
        </w:rPr>
        <w:t>将基金份额发售公告、基金招募说明书提示性公告和基金合同提示性公告登载在指定报刊上，将基金份额发售公告、基金招募说明书、基金产品资料概要、基金合同和基金托管协议登载在指定网站上，并将基金产品资料概要登载在基金销售机构网站或营业网点；基金托管人应当同时将《基金合同》、基金托管协议登载在指定网站上。</w:t>
      </w:r>
    </w:p>
    <w:p w14:paraId="57ABA83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基金份额发售公告</w:t>
      </w:r>
    </w:p>
    <w:p w14:paraId="6F60BC03"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基金管理人应当就基金份额发售的具体事宜编制基金份额发售公告，并在披露招募说明书的当日登载于规定媒介上。</w:t>
      </w:r>
    </w:p>
    <w:p w14:paraId="6D19B938"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w:t>
      </w:r>
      <w:r>
        <w:rPr>
          <w:rFonts w:ascii="宋体" w:hAnsi="宋体"/>
          <w:sz w:val="24"/>
        </w:rPr>
        <w:t>《基金合同》生效公告</w:t>
      </w:r>
    </w:p>
    <w:p w14:paraId="0EE39C8C"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基金管理人应当在</w:t>
      </w:r>
      <w:r>
        <w:rPr>
          <w:rFonts w:ascii="宋体" w:hAnsi="宋体" w:hint="eastAsia"/>
          <w:sz w:val="24"/>
        </w:rPr>
        <w:t>基金合同生效</w:t>
      </w:r>
      <w:r>
        <w:rPr>
          <w:rFonts w:ascii="宋体" w:hAnsi="宋体"/>
          <w:sz w:val="24"/>
        </w:rPr>
        <w:t>的次日在</w:t>
      </w:r>
      <w:r>
        <w:rPr>
          <w:rFonts w:ascii="宋体" w:hAnsi="宋体" w:hint="eastAsia"/>
          <w:sz w:val="24"/>
        </w:rPr>
        <w:t>指定报刊和指定网站</w:t>
      </w:r>
      <w:r>
        <w:rPr>
          <w:rFonts w:ascii="宋体" w:hAnsi="宋体"/>
          <w:sz w:val="24"/>
        </w:rPr>
        <w:t>上登载《基金合同》生效公告。</w:t>
      </w:r>
    </w:p>
    <w:p w14:paraId="4CF95C6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基金</w:t>
      </w:r>
      <w:r>
        <w:rPr>
          <w:rFonts w:ascii="宋体" w:hAnsi="宋体" w:hint="eastAsia"/>
          <w:sz w:val="24"/>
        </w:rPr>
        <w:t>净值信息</w:t>
      </w:r>
    </w:p>
    <w:p w14:paraId="155BE34C" w14:textId="77777777" w:rsidR="008A6127" w:rsidRDefault="00437D9F">
      <w:pPr>
        <w:snapToGrid w:val="0"/>
        <w:spacing w:line="360" w:lineRule="auto"/>
        <w:ind w:firstLineChars="200" w:firstLine="480"/>
        <w:rPr>
          <w:rFonts w:ascii="宋体" w:hAnsi="宋体"/>
          <w:sz w:val="24"/>
        </w:rPr>
      </w:pPr>
      <w:r>
        <w:rPr>
          <w:rFonts w:ascii="宋体" w:hAnsi="宋体"/>
          <w:sz w:val="24"/>
        </w:rPr>
        <w:t>《基金合同》生效后，在开始办理基金份额申购或者赎回前，基金管理人应当至少每周</w:t>
      </w:r>
      <w:r>
        <w:rPr>
          <w:rFonts w:ascii="宋体" w:hAnsi="宋体" w:hint="eastAsia"/>
          <w:sz w:val="24"/>
        </w:rPr>
        <w:t>在指定网站披露</w:t>
      </w:r>
      <w:r>
        <w:rPr>
          <w:rFonts w:ascii="宋体" w:hAnsi="宋体"/>
          <w:sz w:val="24"/>
        </w:rPr>
        <w:t>一次</w:t>
      </w:r>
      <w:r>
        <w:rPr>
          <w:rFonts w:ascii="宋体" w:hAnsi="宋体" w:hint="eastAsia"/>
          <w:sz w:val="24"/>
        </w:rPr>
        <w:t>各类基金份额的</w:t>
      </w:r>
      <w:r>
        <w:rPr>
          <w:rFonts w:ascii="宋体" w:hAnsi="宋体"/>
          <w:sz w:val="24"/>
        </w:rPr>
        <w:t>基金份额净值</w:t>
      </w:r>
      <w:r>
        <w:rPr>
          <w:rFonts w:ascii="宋体" w:hAnsi="宋体" w:hint="eastAsia"/>
          <w:sz w:val="24"/>
        </w:rPr>
        <w:t>、基金份额累计净值</w:t>
      </w:r>
      <w:r>
        <w:rPr>
          <w:rFonts w:ascii="宋体" w:hAnsi="宋体"/>
          <w:sz w:val="24"/>
        </w:rPr>
        <w:t>。</w:t>
      </w:r>
    </w:p>
    <w:p w14:paraId="012B8D57" w14:textId="77777777" w:rsidR="008A6127" w:rsidRDefault="00437D9F">
      <w:pPr>
        <w:snapToGrid w:val="0"/>
        <w:spacing w:line="360" w:lineRule="auto"/>
        <w:ind w:firstLineChars="200" w:firstLine="480"/>
        <w:rPr>
          <w:rFonts w:ascii="宋体" w:hAnsi="宋体"/>
          <w:sz w:val="24"/>
        </w:rPr>
      </w:pPr>
      <w:r>
        <w:rPr>
          <w:rFonts w:ascii="宋体" w:hAnsi="宋体"/>
          <w:sz w:val="24"/>
        </w:rPr>
        <w:t>在开始办理基金份额申购或者赎回后，基金管理人应当在</w:t>
      </w:r>
      <w:r>
        <w:rPr>
          <w:rFonts w:ascii="宋体" w:hAnsi="宋体" w:hint="eastAsia"/>
          <w:sz w:val="24"/>
        </w:rPr>
        <w:t>不晚于</w:t>
      </w:r>
      <w:r>
        <w:rPr>
          <w:rFonts w:ascii="宋体" w:hAnsi="宋体"/>
          <w:sz w:val="24"/>
        </w:rPr>
        <w:t>每个开放日的次日，通过</w:t>
      </w:r>
      <w:r>
        <w:rPr>
          <w:rFonts w:ascii="宋体" w:hAnsi="宋体" w:hint="eastAsia"/>
          <w:sz w:val="24"/>
        </w:rPr>
        <w:t>指定</w:t>
      </w:r>
      <w:r>
        <w:rPr>
          <w:rFonts w:ascii="宋体" w:hAnsi="宋体"/>
          <w:sz w:val="24"/>
        </w:rPr>
        <w:t>网站、基金</w:t>
      </w:r>
      <w:r>
        <w:rPr>
          <w:rFonts w:ascii="宋体" w:hAnsi="宋体" w:hint="eastAsia"/>
          <w:sz w:val="24"/>
        </w:rPr>
        <w:t>销售机构网站或者营业网点</w:t>
      </w:r>
      <w:r>
        <w:rPr>
          <w:rFonts w:ascii="宋体" w:hAnsi="宋体"/>
          <w:sz w:val="24"/>
        </w:rPr>
        <w:t>，披露开放日</w:t>
      </w:r>
      <w:r>
        <w:rPr>
          <w:rFonts w:ascii="宋体" w:hAnsi="宋体" w:hint="eastAsia"/>
          <w:sz w:val="24"/>
        </w:rPr>
        <w:t>各类基金份额</w:t>
      </w:r>
      <w:r>
        <w:rPr>
          <w:rFonts w:ascii="宋体" w:hAnsi="宋体"/>
          <w:sz w:val="24"/>
        </w:rPr>
        <w:t>的基金份额净值和基金份额累计净值。</w:t>
      </w:r>
    </w:p>
    <w:p w14:paraId="7ED9F4F4"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基金管理人应当</w:t>
      </w:r>
      <w:r>
        <w:rPr>
          <w:rFonts w:ascii="宋体" w:hAnsi="宋体" w:hint="eastAsia"/>
          <w:sz w:val="24"/>
        </w:rPr>
        <w:t>在不晚于半年度和年度最后一日的次日，在指定网站披露半年度和年度最后一日各类别基金份额净值和基金份额累计净值。</w:t>
      </w:r>
    </w:p>
    <w:p w14:paraId="0A97373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w:t>
      </w:r>
      <w:r>
        <w:rPr>
          <w:rFonts w:ascii="宋体" w:hAnsi="宋体"/>
          <w:sz w:val="24"/>
        </w:rPr>
        <w:t>基金份额申购、赎回价格</w:t>
      </w:r>
    </w:p>
    <w:p w14:paraId="662F1B9D"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基金管理人应当在《基金合同》、招募说明书等信息披露文件上载</w:t>
      </w:r>
      <w:proofErr w:type="gramStart"/>
      <w:r>
        <w:rPr>
          <w:rFonts w:ascii="宋体" w:hAnsi="宋体"/>
          <w:sz w:val="24"/>
        </w:rPr>
        <w:t>明基金</w:t>
      </w:r>
      <w:proofErr w:type="gramEnd"/>
      <w:r>
        <w:rPr>
          <w:rFonts w:ascii="宋体" w:hAnsi="宋体"/>
          <w:sz w:val="24"/>
        </w:rPr>
        <w:t>份额申购、赎回价格的计算方式及有关申购、赎回费率，并保证投资者能够在基金</w:t>
      </w:r>
      <w:r>
        <w:rPr>
          <w:rFonts w:ascii="宋体" w:hAnsi="宋体" w:hint="eastAsia"/>
          <w:sz w:val="24"/>
        </w:rPr>
        <w:t>销售机构网站或者营业网点</w:t>
      </w:r>
      <w:r>
        <w:rPr>
          <w:rFonts w:ascii="宋体" w:hAnsi="宋体"/>
          <w:sz w:val="24"/>
        </w:rPr>
        <w:t>查阅或者复制前述信息资料。</w:t>
      </w:r>
    </w:p>
    <w:p w14:paraId="38434AE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w:t>
      </w:r>
      <w:r>
        <w:rPr>
          <w:rFonts w:ascii="宋体" w:hAnsi="宋体"/>
          <w:sz w:val="24"/>
        </w:rPr>
        <w:t>基金定期报告，包括基金年度报告、基金</w:t>
      </w:r>
      <w:r>
        <w:rPr>
          <w:rFonts w:ascii="宋体" w:hAnsi="宋体" w:hint="eastAsia"/>
          <w:sz w:val="24"/>
        </w:rPr>
        <w:t>中期</w:t>
      </w:r>
      <w:r>
        <w:rPr>
          <w:rFonts w:ascii="宋体" w:hAnsi="宋体"/>
          <w:sz w:val="24"/>
        </w:rPr>
        <w:t>报告和基金季度报告</w:t>
      </w:r>
      <w:r>
        <w:rPr>
          <w:rFonts w:ascii="宋体" w:hAnsi="宋体" w:hint="eastAsia"/>
          <w:sz w:val="24"/>
        </w:rPr>
        <w:t>（含资产组合季度报告）</w:t>
      </w:r>
    </w:p>
    <w:p w14:paraId="089E275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当在每年结束之日起三个月内，编制完成基金年度报告，将年度报告登载于指定网站上，并将年度报告提示性公告登载在指定报刊上。基金年度报告中的财务会计报告应当经过具有证券、期货相关业务资格的会计师事务所</w:t>
      </w:r>
      <w:r>
        <w:rPr>
          <w:rFonts w:ascii="宋体" w:hAnsi="宋体" w:hint="eastAsia"/>
          <w:sz w:val="24"/>
        </w:rPr>
        <w:lastRenderedPageBreak/>
        <w:t>审计。</w:t>
      </w:r>
    </w:p>
    <w:p w14:paraId="3658D64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基金管理人应当在上半年结束之日起两个月内，编制完成基金中期报告，并将中期报告登载在指定网站上，并将中期报告提示性公告登载在指定报刊上。</w:t>
      </w:r>
    </w:p>
    <w:p w14:paraId="0921442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基金管理人应当在季度结束之日起15个工作日内，编制完成基金季度报告，将季度报告登载在指定网站上，并将季度报告提示性公告登载在指定报刊上。</w:t>
      </w:r>
    </w:p>
    <w:p w14:paraId="5C4138C7" w14:textId="77777777" w:rsidR="008A6127" w:rsidRDefault="00437D9F">
      <w:pPr>
        <w:snapToGrid w:val="0"/>
        <w:spacing w:line="360" w:lineRule="auto"/>
        <w:ind w:firstLineChars="200" w:firstLine="480"/>
        <w:rPr>
          <w:rFonts w:ascii="宋体" w:hAnsi="宋体"/>
          <w:sz w:val="24"/>
        </w:rPr>
      </w:pPr>
      <w:r>
        <w:rPr>
          <w:rFonts w:ascii="宋体" w:hAnsi="宋体"/>
          <w:sz w:val="24"/>
        </w:rPr>
        <w:t>《基金合同》生效不足2个月的，基金管理人可以不编制当期季度报告、</w:t>
      </w:r>
      <w:r>
        <w:rPr>
          <w:rFonts w:ascii="宋体" w:hAnsi="宋体" w:hint="eastAsia"/>
          <w:sz w:val="24"/>
        </w:rPr>
        <w:t>中期</w:t>
      </w:r>
      <w:r>
        <w:rPr>
          <w:rFonts w:ascii="宋体" w:hAnsi="宋体"/>
          <w:sz w:val="24"/>
        </w:rPr>
        <w:t>报告或者年度报告。</w:t>
      </w:r>
    </w:p>
    <w:p w14:paraId="4D2C209B" w14:textId="77777777" w:rsidR="008A6127" w:rsidRDefault="00437D9F">
      <w:pPr>
        <w:snapToGrid w:val="0"/>
        <w:spacing w:line="360" w:lineRule="auto"/>
        <w:ind w:firstLineChars="200" w:firstLine="480"/>
        <w:rPr>
          <w:rFonts w:ascii="宋体" w:hAnsi="宋体"/>
          <w:sz w:val="24"/>
        </w:rPr>
      </w:pPr>
      <w:r>
        <w:rPr>
          <w:rFonts w:ascii="宋体" w:hAnsi="宋体"/>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30EBACE1"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基金管理人应当在基金年度报告和</w:t>
      </w:r>
      <w:r>
        <w:rPr>
          <w:rFonts w:ascii="宋体" w:hAnsi="宋体" w:hint="eastAsia"/>
          <w:sz w:val="24"/>
        </w:rPr>
        <w:t>中期</w:t>
      </w:r>
      <w:r>
        <w:rPr>
          <w:rFonts w:ascii="宋体" w:hAnsi="宋体"/>
          <w:sz w:val="24"/>
        </w:rPr>
        <w:t>报告中披露基金组合资产情况及其流动性风险分析等。</w:t>
      </w:r>
    </w:p>
    <w:p w14:paraId="5C54140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w:t>
      </w:r>
      <w:r>
        <w:rPr>
          <w:rFonts w:ascii="宋体" w:hAnsi="宋体"/>
          <w:sz w:val="24"/>
        </w:rPr>
        <w:t>临时报告</w:t>
      </w:r>
    </w:p>
    <w:p w14:paraId="2090ED51" w14:textId="77777777" w:rsidR="008A6127" w:rsidRDefault="00437D9F">
      <w:pPr>
        <w:snapToGrid w:val="0"/>
        <w:spacing w:line="360" w:lineRule="auto"/>
        <w:ind w:firstLineChars="200" w:firstLine="480"/>
        <w:rPr>
          <w:rFonts w:ascii="宋体" w:hAnsi="宋体"/>
          <w:sz w:val="24"/>
        </w:rPr>
      </w:pPr>
      <w:r>
        <w:rPr>
          <w:rFonts w:ascii="宋体" w:hAnsi="宋体"/>
          <w:sz w:val="24"/>
        </w:rPr>
        <w:t>本基金发生重大事件，有关信息披露义务人</w:t>
      </w:r>
      <w:r>
        <w:rPr>
          <w:rFonts w:ascii="宋体" w:hAnsi="宋体" w:hint="eastAsia"/>
          <w:sz w:val="24"/>
        </w:rPr>
        <w:t>应当在</w:t>
      </w:r>
      <w:r>
        <w:rPr>
          <w:rFonts w:ascii="宋体" w:hAnsi="宋体"/>
          <w:sz w:val="24"/>
        </w:rPr>
        <w:t>2</w:t>
      </w:r>
      <w:r>
        <w:rPr>
          <w:rFonts w:ascii="宋体" w:hAnsi="宋体" w:hint="eastAsia"/>
          <w:sz w:val="24"/>
        </w:rPr>
        <w:t>日内编</w:t>
      </w:r>
      <w:r>
        <w:rPr>
          <w:rFonts w:ascii="宋体" w:hAnsi="宋体"/>
          <w:sz w:val="24"/>
        </w:rPr>
        <w:t>制临时报告书，</w:t>
      </w:r>
      <w:r>
        <w:rPr>
          <w:rFonts w:ascii="宋体" w:hAnsi="宋体" w:hint="eastAsia"/>
          <w:sz w:val="24"/>
        </w:rPr>
        <w:t>并登载在指定报刊和指定网站上</w:t>
      </w:r>
      <w:r>
        <w:rPr>
          <w:rFonts w:ascii="宋体" w:hAnsi="宋体"/>
          <w:sz w:val="24"/>
        </w:rPr>
        <w:t>。</w:t>
      </w:r>
    </w:p>
    <w:p w14:paraId="72ED0CAC" w14:textId="77777777" w:rsidR="008A6127" w:rsidRDefault="00437D9F">
      <w:pPr>
        <w:snapToGrid w:val="0"/>
        <w:spacing w:line="360" w:lineRule="auto"/>
        <w:ind w:firstLineChars="200" w:firstLine="480"/>
        <w:rPr>
          <w:rFonts w:ascii="宋体" w:hAnsi="宋体"/>
          <w:sz w:val="24"/>
        </w:rPr>
      </w:pPr>
      <w:r>
        <w:rPr>
          <w:rFonts w:ascii="宋体" w:hAnsi="宋体"/>
          <w:sz w:val="24"/>
        </w:rPr>
        <w:t>前款所称重大事件，是指可能对基金份额持有人权益或者基金份额的价格产生重大影响的下列事件：</w:t>
      </w:r>
    </w:p>
    <w:p w14:paraId="0B0C10E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基金份额持有人大会的召开</w:t>
      </w:r>
      <w:r>
        <w:rPr>
          <w:rFonts w:ascii="宋体" w:hAnsi="宋体" w:hint="eastAsia"/>
          <w:sz w:val="24"/>
        </w:rPr>
        <w:t>及决定的事项</w:t>
      </w:r>
      <w:r>
        <w:rPr>
          <w:rFonts w:ascii="宋体" w:hAnsi="宋体"/>
          <w:sz w:val="24"/>
        </w:rPr>
        <w:t>；</w:t>
      </w:r>
    </w:p>
    <w:p w14:paraId="68F24A6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（2）《基金合同》终止、基金清算</w:t>
      </w:r>
      <w:r>
        <w:rPr>
          <w:rFonts w:ascii="宋体" w:hAnsi="宋体"/>
          <w:sz w:val="24"/>
        </w:rPr>
        <w:t>；</w:t>
      </w:r>
    </w:p>
    <w:p w14:paraId="321D70B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r>
        <w:rPr>
          <w:rFonts w:ascii="宋体" w:hAnsi="宋体"/>
          <w:sz w:val="24"/>
        </w:rPr>
        <w:t>转换基金运作方式</w:t>
      </w:r>
      <w:r>
        <w:rPr>
          <w:rFonts w:ascii="宋体" w:hAnsi="宋体" w:hint="eastAsia"/>
          <w:sz w:val="24"/>
        </w:rPr>
        <w:t>、基金合并</w:t>
      </w:r>
      <w:r>
        <w:rPr>
          <w:rFonts w:ascii="宋体" w:hAnsi="宋体"/>
          <w:sz w:val="24"/>
        </w:rPr>
        <w:t>；</w:t>
      </w:r>
    </w:p>
    <w:p w14:paraId="2E79FCC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更换基金管理人、基金托管人</w:t>
      </w:r>
      <w:r>
        <w:rPr>
          <w:rFonts w:ascii="宋体" w:hAnsi="宋体" w:hint="eastAsia"/>
          <w:sz w:val="24"/>
        </w:rPr>
        <w:t>、基金份额登记机构、基金改聘会计师事务所</w:t>
      </w:r>
      <w:r>
        <w:rPr>
          <w:rFonts w:ascii="宋体" w:hAnsi="宋体"/>
          <w:sz w:val="24"/>
        </w:rPr>
        <w:t>；</w:t>
      </w:r>
    </w:p>
    <w:p w14:paraId="18E2AE5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（5）基金管理人委托基金服务机构代为办理基金的份额登记、核算、估值等事项，基金托管人委托基金服务机构代为办理基金的核算、估值、复核等事项；</w:t>
      </w:r>
    </w:p>
    <w:p w14:paraId="4B470FD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w:t>
      </w:r>
      <w:r>
        <w:rPr>
          <w:rFonts w:ascii="宋体" w:hAnsi="宋体"/>
          <w:sz w:val="24"/>
        </w:rPr>
        <w:t>基金管理人、基金托管人的法定名称、住所发生变更；</w:t>
      </w:r>
    </w:p>
    <w:p w14:paraId="00380CA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w:t>
      </w:r>
      <w:r>
        <w:rPr>
          <w:rFonts w:ascii="宋体" w:hAnsi="宋体"/>
          <w:sz w:val="24"/>
        </w:rPr>
        <w:t>基金管理人</w:t>
      </w:r>
      <w:r>
        <w:rPr>
          <w:rFonts w:ascii="宋体" w:hAnsi="宋体" w:hint="eastAsia"/>
          <w:sz w:val="24"/>
        </w:rPr>
        <w:t>变更持有百分之五以上股权的股东、变更公司的实际控制人</w:t>
      </w:r>
      <w:r>
        <w:rPr>
          <w:rFonts w:ascii="宋体" w:hAnsi="宋体"/>
          <w:sz w:val="24"/>
        </w:rPr>
        <w:t>；</w:t>
      </w:r>
    </w:p>
    <w:p w14:paraId="0149BF6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w:t>
      </w:r>
      <w:r>
        <w:rPr>
          <w:rFonts w:ascii="宋体" w:hAnsi="宋体"/>
          <w:sz w:val="24"/>
        </w:rPr>
        <w:t>基金募集期延长</w:t>
      </w:r>
      <w:r>
        <w:rPr>
          <w:rFonts w:ascii="宋体" w:hAnsi="宋体" w:hint="eastAsia"/>
          <w:sz w:val="24"/>
        </w:rPr>
        <w:t>或提前结束募集</w:t>
      </w:r>
      <w:r>
        <w:rPr>
          <w:rFonts w:ascii="宋体" w:hAnsi="宋体"/>
          <w:sz w:val="24"/>
        </w:rPr>
        <w:t>；</w:t>
      </w:r>
    </w:p>
    <w:p w14:paraId="053FB0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w:t>
      </w:r>
      <w:r>
        <w:rPr>
          <w:rFonts w:ascii="宋体" w:hAnsi="宋体"/>
          <w:sz w:val="24"/>
        </w:rPr>
        <w:t>基金管理人高级管理人员、基金经理和基金托管人</w:t>
      </w:r>
      <w:r>
        <w:rPr>
          <w:rFonts w:ascii="宋体" w:hAnsi="宋体" w:hint="eastAsia"/>
          <w:sz w:val="24"/>
        </w:rPr>
        <w:t>专门</w:t>
      </w:r>
      <w:r>
        <w:rPr>
          <w:rFonts w:ascii="宋体" w:hAnsi="宋体"/>
          <w:sz w:val="24"/>
        </w:rPr>
        <w:t>基金托管部门</w:t>
      </w:r>
      <w:r>
        <w:rPr>
          <w:rFonts w:ascii="宋体" w:hAnsi="宋体"/>
          <w:sz w:val="24"/>
        </w:rPr>
        <w:lastRenderedPageBreak/>
        <w:t>负责人发生变动；</w:t>
      </w:r>
    </w:p>
    <w:p w14:paraId="777151E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w:t>
      </w:r>
      <w:r>
        <w:rPr>
          <w:rFonts w:ascii="宋体" w:hAnsi="宋体"/>
          <w:sz w:val="24"/>
        </w:rPr>
        <w:t>基金管理人的董事在</w:t>
      </w:r>
      <w:r>
        <w:rPr>
          <w:rFonts w:ascii="宋体" w:hAnsi="宋体" w:hint="eastAsia"/>
          <w:sz w:val="24"/>
        </w:rPr>
        <w:t>最近12个月</w:t>
      </w:r>
      <w:r>
        <w:rPr>
          <w:rFonts w:ascii="宋体" w:hAnsi="宋体"/>
          <w:sz w:val="24"/>
        </w:rPr>
        <w:t>内变更超过百分之五十；</w:t>
      </w:r>
    </w:p>
    <w:p w14:paraId="5160303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1</w:t>
      </w:r>
      <w:r>
        <w:rPr>
          <w:rFonts w:ascii="宋体" w:hAnsi="宋体" w:hint="eastAsia"/>
          <w:sz w:val="24"/>
        </w:rPr>
        <w:t>）</w:t>
      </w:r>
      <w:r>
        <w:rPr>
          <w:rFonts w:ascii="宋体" w:hAnsi="宋体"/>
          <w:sz w:val="24"/>
        </w:rPr>
        <w:t>基金管理人、基金托管人</w:t>
      </w:r>
      <w:r>
        <w:rPr>
          <w:rFonts w:ascii="宋体" w:hAnsi="宋体" w:hint="eastAsia"/>
          <w:sz w:val="24"/>
        </w:rPr>
        <w:t>专门</w:t>
      </w:r>
      <w:r>
        <w:rPr>
          <w:rFonts w:ascii="宋体" w:hAnsi="宋体"/>
          <w:sz w:val="24"/>
        </w:rPr>
        <w:t>基金托管部门的主要业务人员在</w:t>
      </w:r>
      <w:r>
        <w:rPr>
          <w:rFonts w:ascii="宋体" w:hAnsi="宋体" w:hint="eastAsia"/>
          <w:sz w:val="24"/>
        </w:rPr>
        <w:t>最近12个月</w:t>
      </w:r>
      <w:r>
        <w:rPr>
          <w:rFonts w:ascii="宋体" w:hAnsi="宋体"/>
          <w:sz w:val="24"/>
        </w:rPr>
        <w:t>内变动超过百分之三十；</w:t>
      </w:r>
    </w:p>
    <w:p w14:paraId="7226561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2</w:t>
      </w:r>
      <w:r>
        <w:rPr>
          <w:rFonts w:ascii="宋体" w:hAnsi="宋体" w:hint="eastAsia"/>
          <w:sz w:val="24"/>
        </w:rPr>
        <w:t>）</w:t>
      </w:r>
      <w:r>
        <w:rPr>
          <w:rFonts w:ascii="宋体" w:hAnsi="宋体"/>
          <w:sz w:val="24"/>
        </w:rPr>
        <w:t>涉及基金</w:t>
      </w:r>
      <w:r>
        <w:rPr>
          <w:rFonts w:ascii="宋体" w:hAnsi="宋体" w:hint="eastAsia"/>
          <w:sz w:val="24"/>
        </w:rPr>
        <w:t>财产、基金</w:t>
      </w:r>
      <w:r>
        <w:rPr>
          <w:rFonts w:ascii="宋体" w:hAnsi="宋体"/>
          <w:sz w:val="24"/>
        </w:rPr>
        <w:t>管理</w:t>
      </w:r>
      <w:r>
        <w:rPr>
          <w:rFonts w:ascii="宋体" w:hAnsi="宋体" w:hint="eastAsia"/>
          <w:sz w:val="24"/>
        </w:rPr>
        <w:t>业务</w:t>
      </w:r>
      <w:r>
        <w:rPr>
          <w:rFonts w:ascii="宋体" w:hAnsi="宋体"/>
          <w:sz w:val="24"/>
        </w:rPr>
        <w:t>、基金托管业务的诉讼</w:t>
      </w:r>
      <w:r>
        <w:rPr>
          <w:rFonts w:ascii="宋体" w:hAnsi="宋体" w:hint="eastAsia"/>
          <w:sz w:val="24"/>
        </w:rPr>
        <w:t>或仲裁</w:t>
      </w:r>
      <w:r>
        <w:rPr>
          <w:rFonts w:ascii="宋体" w:hAnsi="宋体"/>
          <w:sz w:val="24"/>
        </w:rPr>
        <w:t>；</w:t>
      </w:r>
    </w:p>
    <w:p w14:paraId="43C0AAD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3</w:t>
      </w:r>
      <w:r>
        <w:rPr>
          <w:rFonts w:ascii="宋体" w:hAnsi="宋体" w:hint="eastAsia"/>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5166938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4</w:t>
      </w:r>
      <w:r>
        <w:rPr>
          <w:rFonts w:ascii="宋体" w:hAnsi="宋体" w:hint="eastAsia"/>
          <w:sz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6735ABC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5</w:t>
      </w:r>
      <w:r>
        <w:rPr>
          <w:rFonts w:ascii="宋体" w:hAnsi="宋体" w:hint="eastAsia"/>
          <w:sz w:val="24"/>
        </w:rPr>
        <w:t>）</w:t>
      </w:r>
      <w:r>
        <w:rPr>
          <w:rFonts w:ascii="宋体" w:hAnsi="宋体"/>
          <w:sz w:val="24"/>
        </w:rPr>
        <w:t>基金收益分配事项；</w:t>
      </w:r>
    </w:p>
    <w:p w14:paraId="110CE5E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6</w:t>
      </w:r>
      <w:r>
        <w:rPr>
          <w:rFonts w:ascii="宋体" w:hAnsi="宋体" w:hint="eastAsia"/>
          <w:sz w:val="24"/>
        </w:rPr>
        <w:t>）</w:t>
      </w:r>
      <w:r>
        <w:rPr>
          <w:rFonts w:ascii="宋体" w:hAnsi="宋体"/>
          <w:sz w:val="24"/>
        </w:rPr>
        <w:t>管理费、托管费</w:t>
      </w:r>
      <w:r>
        <w:rPr>
          <w:rFonts w:ascii="宋体" w:hAnsi="宋体" w:hint="eastAsia"/>
          <w:sz w:val="24"/>
        </w:rPr>
        <w:t>、销售服务费、申购费、赎回费</w:t>
      </w:r>
      <w:r>
        <w:rPr>
          <w:rFonts w:ascii="宋体" w:hAnsi="宋体"/>
          <w:sz w:val="24"/>
        </w:rPr>
        <w:t>等费用计提标准、计提方式和费率发生变更；</w:t>
      </w:r>
    </w:p>
    <w:p w14:paraId="36DD00F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7</w:t>
      </w:r>
      <w:r>
        <w:rPr>
          <w:rFonts w:ascii="宋体" w:hAnsi="宋体" w:hint="eastAsia"/>
          <w:sz w:val="24"/>
        </w:rPr>
        <w:t>）某一类别</w:t>
      </w:r>
      <w:r>
        <w:rPr>
          <w:rFonts w:ascii="宋体" w:hAnsi="宋体"/>
          <w:sz w:val="24"/>
        </w:rPr>
        <w:t>基</w:t>
      </w:r>
      <w:r>
        <w:rPr>
          <w:rFonts w:ascii="宋体" w:hAnsi="宋体" w:hint="eastAsia"/>
          <w:sz w:val="24"/>
        </w:rPr>
        <w:t>金份额净值计价错误</w:t>
      </w:r>
      <w:proofErr w:type="gramStart"/>
      <w:r>
        <w:rPr>
          <w:rFonts w:ascii="宋体" w:hAnsi="宋体" w:hint="eastAsia"/>
          <w:sz w:val="24"/>
        </w:rPr>
        <w:t>达</w:t>
      </w:r>
      <w:r>
        <w:rPr>
          <w:rFonts w:ascii="宋体" w:hAnsi="宋体"/>
          <w:sz w:val="24"/>
        </w:rPr>
        <w:t>基金</w:t>
      </w:r>
      <w:proofErr w:type="gramEnd"/>
      <w:r>
        <w:rPr>
          <w:rFonts w:ascii="宋体" w:hAnsi="宋体"/>
          <w:sz w:val="24"/>
        </w:rPr>
        <w:t>份额净值百分之零点五；</w:t>
      </w:r>
    </w:p>
    <w:p w14:paraId="577A33E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8</w:t>
      </w:r>
      <w:r>
        <w:rPr>
          <w:rFonts w:ascii="宋体" w:hAnsi="宋体" w:hint="eastAsia"/>
          <w:sz w:val="24"/>
        </w:rPr>
        <w:t>）</w:t>
      </w:r>
      <w:r>
        <w:rPr>
          <w:rFonts w:ascii="宋体" w:hAnsi="宋体"/>
          <w:sz w:val="24"/>
        </w:rPr>
        <w:t>本基金开始办理申购、赎回；</w:t>
      </w:r>
    </w:p>
    <w:p w14:paraId="0627208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9</w:t>
      </w:r>
      <w:r>
        <w:rPr>
          <w:rFonts w:ascii="宋体" w:hAnsi="宋体" w:hint="eastAsia"/>
          <w:sz w:val="24"/>
        </w:rPr>
        <w:t>）</w:t>
      </w:r>
      <w:r>
        <w:rPr>
          <w:rFonts w:ascii="宋体" w:hAnsi="宋体"/>
          <w:sz w:val="24"/>
        </w:rPr>
        <w:t>本基金发生巨额赎回并延期</w:t>
      </w:r>
      <w:r>
        <w:rPr>
          <w:rFonts w:ascii="宋体" w:hAnsi="宋体" w:hint="eastAsia"/>
          <w:sz w:val="24"/>
        </w:rPr>
        <w:t>办理</w:t>
      </w:r>
      <w:r>
        <w:rPr>
          <w:rFonts w:ascii="宋体" w:hAnsi="宋体"/>
          <w:sz w:val="24"/>
        </w:rPr>
        <w:t>；</w:t>
      </w:r>
    </w:p>
    <w:p w14:paraId="2616D60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0</w:t>
      </w:r>
      <w:r>
        <w:rPr>
          <w:rFonts w:ascii="宋体" w:hAnsi="宋体" w:hint="eastAsia"/>
          <w:sz w:val="24"/>
        </w:rPr>
        <w:t>）</w:t>
      </w:r>
      <w:r>
        <w:rPr>
          <w:rFonts w:ascii="宋体" w:hAnsi="宋体"/>
          <w:sz w:val="24"/>
        </w:rPr>
        <w:t>本基金连续发生巨额赎回并暂停接受赎回申请</w:t>
      </w:r>
      <w:r>
        <w:rPr>
          <w:rFonts w:ascii="宋体" w:hAnsi="宋体" w:hint="eastAsia"/>
          <w:sz w:val="24"/>
        </w:rPr>
        <w:t>或延缓支付赎回款项</w:t>
      </w:r>
      <w:r>
        <w:rPr>
          <w:rFonts w:ascii="宋体" w:hAnsi="宋体"/>
          <w:sz w:val="24"/>
        </w:rPr>
        <w:t>；</w:t>
      </w:r>
    </w:p>
    <w:p w14:paraId="551E546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1</w:t>
      </w:r>
      <w:r>
        <w:rPr>
          <w:rFonts w:ascii="宋体" w:hAnsi="宋体" w:hint="eastAsia"/>
          <w:sz w:val="24"/>
        </w:rPr>
        <w:t>）</w:t>
      </w:r>
      <w:r>
        <w:rPr>
          <w:rFonts w:ascii="宋体" w:hAnsi="宋体"/>
          <w:sz w:val="24"/>
        </w:rPr>
        <w:t>本基金暂停接受申购、赎回申请</w:t>
      </w:r>
      <w:r>
        <w:rPr>
          <w:rFonts w:ascii="宋体" w:hAnsi="宋体" w:hint="eastAsia"/>
          <w:sz w:val="24"/>
        </w:rPr>
        <w:t>或</w:t>
      </w:r>
      <w:r>
        <w:rPr>
          <w:rFonts w:ascii="宋体" w:hAnsi="宋体"/>
          <w:sz w:val="24"/>
        </w:rPr>
        <w:t>重新接受申购、赎回</w:t>
      </w:r>
      <w:r>
        <w:rPr>
          <w:rFonts w:ascii="宋体" w:hAnsi="宋体" w:hint="eastAsia"/>
          <w:sz w:val="24"/>
        </w:rPr>
        <w:t>申请</w:t>
      </w:r>
      <w:r>
        <w:rPr>
          <w:rFonts w:ascii="宋体" w:hAnsi="宋体"/>
          <w:sz w:val="24"/>
        </w:rPr>
        <w:t>；</w:t>
      </w:r>
    </w:p>
    <w:p w14:paraId="0798457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2</w:t>
      </w:r>
      <w:r>
        <w:rPr>
          <w:rFonts w:ascii="宋体" w:hAnsi="宋体" w:hint="eastAsia"/>
          <w:sz w:val="24"/>
        </w:rPr>
        <w:t>）</w:t>
      </w:r>
      <w:r>
        <w:rPr>
          <w:rFonts w:ascii="宋体" w:hAnsi="宋体"/>
          <w:sz w:val="24"/>
        </w:rPr>
        <w:t>发生涉及基金申购、赎回事项调整或潜在影响投资者赎回等重大事项时；</w:t>
      </w:r>
    </w:p>
    <w:p w14:paraId="77AE98F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3</w:t>
      </w:r>
      <w:r>
        <w:rPr>
          <w:rFonts w:ascii="宋体" w:hAnsi="宋体" w:hint="eastAsia"/>
          <w:sz w:val="24"/>
        </w:rPr>
        <w:t>）本基金推出新业务或服务；</w:t>
      </w:r>
    </w:p>
    <w:p w14:paraId="002FEDD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4</w:t>
      </w:r>
      <w:r>
        <w:rPr>
          <w:rFonts w:ascii="宋体" w:hAnsi="宋体" w:hint="eastAsia"/>
          <w:sz w:val="24"/>
        </w:rPr>
        <w:t>）调整本基金份额类别设置；</w:t>
      </w:r>
    </w:p>
    <w:p w14:paraId="49C31E8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5</w:t>
      </w:r>
      <w:r>
        <w:rPr>
          <w:rFonts w:ascii="宋体" w:hAnsi="宋体" w:hint="eastAsia"/>
          <w:sz w:val="24"/>
        </w:rPr>
        <w:t>）</w:t>
      </w:r>
      <w:r>
        <w:rPr>
          <w:rFonts w:ascii="宋体" w:hAnsi="宋体"/>
          <w:sz w:val="24"/>
        </w:rPr>
        <w:t>基金管理人采用摆动定价机制进行估值</w:t>
      </w:r>
      <w:r>
        <w:rPr>
          <w:rFonts w:ascii="宋体" w:hAnsi="宋体" w:hint="eastAsia"/>
          <w:sz w:val="24"/>
        </w:rPr>
        <w:t>；</w:t>
      </w:r>
    </w:p>
    <w:p w14:paraId="5D77E6D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w:t>
      </w:r>
      <w:r>
        <w:rPr>
          <w:rFonts w:ascii="宋体" w:hAnsi="宋体"/>
          <w:sz w:val="24"/>
        </w:rPr>
        <w:t>6</w:t>
      </w:r>
      <w:r>
        <w:rPr>
          <w:rFonts w:ascii="宋体" w:hAnsi="宋体" w:hint="eastAsia"/>
          <w:sz w:val="24"/>
        </w:rPr>
        <w:t>）基金信息披露义务人认为可能对基金份额持有人权益或者基金份额的价格产生重大影响的其他事项或中国证监会或本基金合同规定的其他事项。</w:t>
      </w:r>
    </w:p>
    <w:p w14:paraId="5BDF58E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w:t>
      </w:r>
      <w:r>
        <w:rPr>
          <w:rFonts w:ascii="宋体" w:hAnsi="宋体"/>
          <w:sz w:val="24"/>
        </w:rPr>
        <w:t>澄清公告</w:t>
      </w:r>
    </w:p>
    <w:p w14:paraId="2262D330" w14:textId="77777777" w:rsidR="008A6127" w:rsidRDefault="00437D9F">
      <w:pPr>
        <w:snapToGrid w:val="0"/>
        <w:spacing w:line="360" w:lineRule="auto"/>
        <w:ind w:firstLineChars="200" w:firstLine="480"/>
        <w:rPr>
          <w:rFonts w:ascii="宋体" w:hAnsi="宋体"/>
          <w:sz w:val="24"/>
        </w:rPr>
      </w:pPr>
      <w:r>
        <w:rPr>
          <w:rFonts w:ascii="宋体" w:hAnsi="宋体"/>
          <w:sz w:val="24"/>
        </w:rPr>
        <w:t>在《基金合同》存续期限内，任何公共</w:t>
      </w:r>
      <w:r>
        <w:rPr>
          <w:rFonts w:ascii="宋体" w:hAnsi="宋体" w:hint="eastAsia"/>
          <w:sz w:val="24"/>
        </w:rPr>
        <w:t>媒介</w:t>
      </w:r>
      <w:r>
        <w:rPr>
          <w:rFonts w:ascii="宋体" w:hAnsi="宋体"/>
          <w:sz w:val="24"/>
        </w:rPr>
        <w:t>中出现的或者在市场上流传的消息可能对基金份额价格产生误导性影响或者引起较大波动</w:t>
      </w:r>
      <w:r>
        <w:rPr>
          <w:rFonts w:ascii="宋体" w:hAnsi="宋体" w:hint="eastAsia"/>
          <w:sz w:val="24"/>
        </w:rPr>
        <w:t>，以及可能损害基金份额持有人权益</w:t>
      </w:r>
      <w:r>
        <w:rPr>
          <w:rFonts w:ascii="宋体" w:hAnsi="宋体"/>
          <w:sz w:val="24"/>
        </w:rPr>
        <w:t>的，相关信息披露义务人知悉后应当立即对该消息进行公开澄清，</w:t>
      </w:r>
      <w:r>
        <w:rPr>
          <w:rFonts w:ascii="宋体" w:hAnsi="宋体"/>
          <w:sz w:val="24"/>
        </w:rPr>
        <w:lastRenderedPageBreak/>
        <w:t>并将有关情况立即报告中国证监会。</w:t>
      </w:r>
    </w:p>
    <w:p w14:paraId="444CAB8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w:t>
      </w:r>
      <w:r>
        <w:rPr>
          <w:rFonts w:ascii="宋体" w:hAnsi="宋体"/>
          <w:sz w:val="24"/>
        </w:rPr>
        <w:t>基金份额持有人大会决议</w:t>
      </w:r>
    </w:p>
    <w:p w14:paraId="4C5D6B1B" w14:textId="77777777" w:rsidR="008A6127" w:rsidRDefault="00437D9F">
      <w:pPr>
        <w:snapToGrid w:val="0"/>
        <w:spacing w:line="360" w:lineRule="auto"/>
        <w:ind w:firstLineChars="200" w:firstLine="480"/>
        <w:rPr>
          <w:rFonts w:ascii="宋体" w:hAnsi="宋体"/>
          <w:sz w:val="24"/>
        </w:rPr>
      </w:pPr>
      <w:r>
        <w:rPr>
          <w:rFonts w:ascii="宋体" w:hAnsi="宋体"/>
          <w:sz w:val="24"/>
        </w:rPr>
        <w:t>基金份额持有人大会决定的事项，应当依法报</w:t>
      </w:r>
      <w:r>
        <w:rPr>
          <w:rFonts w:ascii="宋体" w:hAnsi="宋体" w:hint="eastAsia"/>
          <w:sz w:val="24"/>
        </w:rPr>
        <w:t>中国证监会</w:t>
      </w:r>
      <w:r>
        <w:rPr>
          <w:rFonts w:ascii="宋体" w:hAnsi="宋体"/>
          <w:sz w:val="24"/>
        </w:rPr>
        <w:t>备案，并予以公告。</w:t>
      </w:r>
    </w:p>
    <w:p w14:paraId="36E2B77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、清算报告</w:t>
      </w:r>
    </w:p>
    <w:p w14:paraId="32A4FCB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《基金合同》终止的，基金管理人应当依法组织基金财产清算小组对基金财产进行清算并</w:t>
      </w:r>
      <w:proofErr w:type="gramStart"/>
      <w:r>
        <w:rPr>
          <w:rFonts w:ascii="宋体" w:hAnsi="宋体" w:hint="eastAsia"/>
          <w:sz w:val="24"/>
        </w:rPr>
        <w:t>作出</w:t>
      </w:r>
      <w:proofErr w:type="gramEnd"/>
      <w:r>
        <w:rPr>
          <w:rFonts w:ascii="宋体" w:hAnsi="宋体" w:hint="eastAsia"/>
          <w:sz w:val="24"/>
        </w:rPr>
        <w:t>清算报告。基金财产清算小组应当将清算报告登载在指定网站上，并将清算报告提示性公告登载在指定报刊上。</w:t>
      </w:r>
    </w:p>
    <w:p w14:paraId="7E80B473" w14:textId="77777777" w:rsidR="008A6127" w:rsidRDefault="00437D9F">
      <w:pPr>
        <w:snapToGrid w:val="0"/>
        <w:spacing w:line="360" w:lineRule="auto"/>
        <w:ind w:firstLineChars="200" w:firstLine="480"/>
        <w:rPr>
          <w:rFonts w:ascii="宋体" w:hAnsi="宋体"/>
          <w:sz w:val="24"/>
        </w:rPr>
      </w:pPr>
      <w:r>
        <w:rPr>
          <w:rFonts w:ascii="宋体" w:hAnsi="宋体"/>
          <w:sz w:val="24"/>
        </w:rPr>
        <w:t>11</w:t>
      </w:r>
      <w:r>
        <w:rPr>
          <w:rFonts w:ascii="宋体" w:hAnsi="宋体" w:hint="eastAsia"/>
          <w:sz w:val="24"/>
        </w:rPr>
        <w:t>、投资股指期货的信息披露</w:t>
      </w:r>
    </w:p>
    <w:p w14:paraId="2A979F2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如将来法律法规或中国证监会有另行规定的，从其规定。</w:t>
      </w:r>
    </w:p>
    <w:p w14:paraId="15C19348" w14:textId="77777777" w:rsidR="008A6127" w:rsidRDefault="00437D9F">
      <w:pPr>
        <w:snapToGrid w:val="0"/>
        <w:spacing w:line="360" w:lineRule="auto"/>
        <w:ind w:firstLineChars="200" w:firstLine="480"/>
        <w:rPr>
          <w:rFonts w:ascii="宋体" w:hAnsi="宋体"/>
          <w:sz w:val="24"/>
        </w:rPr>
      </w:pPr>
      <w:r>
        <w:rPr>
          <w:rFonts w:ascii="宋体" w:hAnsi="宋体"/>
          <w:sz w:val="24"/>
        </w:rPr>
        <w:t>12</w:t>
      </w:r>
      <w:r>
        <w:rPr>
          <w:rFonts w:ascii="宋体" w:hAnsi="宋体" w:hint="eastAsia"/>
          <w:sz w:val="24"/>
        </w:rPr>
        <w:t>、投资流通受限证券的信息披露</w:t>
      </w:r>
    </w:p>
    <w:p w14:paraId="3E3BEB2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本基金投资流通受限证券，基金管理人应在本基金投资非公开发行股票后两个交易日内，在中国证监会</w:t>
      </w:r>
      <w:r>
        <w:rPr>
          <w:rFonts w:ascii="宋体" w:hAnsi="宋体"/>
          <w:sz w:val="24"/>
        </w:rPr>
        <w:t>规定媒介</w:t>
      </w:r>
      <w:r>
        <w:rPr>
          <w:rFonts w:ascii="宋体" w:hAnsi="宋体" w:hint="eastAsia"/>
          <w:sz w:val="24"/>
        </w:rPr>
        <w:t>披露所投资非公开发行股票的名称、数量、总成本、账面价值，以及总成本和账面价值占基金资产净值的比例、锁定期等信息。</w:t>
      </w:r>
    </w:p>
    <w:p w14:paraId="1BB90146" w14:textId="77777777" w:rsidR="008A6127" w:rsidRDefault="00437D9F">
      <w:pPr>
        <w:snapToGrid w:val="0"/>
        <w:spacing w:line="360" w:lineRule="auto"/>
        <w:ind w:firstLineChars="200" w:firstLine="480"/>
        <w:rPr>
          <w:rFonts w:ascii="宋体" w:hAnsi="宋体"/>
          <w:sz w:val="24"/>
        </w:rPr>
      </w:pPr>
      <w:r>
        <w:rPr>
          <w:rFonts w:ascii="宋体" w:hAnsi="宋体"/>
          <w:sz w:val="24"/>
        </w:rPr>
        <w:t>13</w:t>
      </w:r>
      <w:r>
        <w:rPr>
          <w:rFonts w:ascii="宋体" w:hAnsi="宋体" w:hint="eastAsia"/>
          <w:sz w:val="24"/>
        </w:rPr>
        <w:t>、参与港股</w:t>
      </w:r>
      <w:proofErr w:type="gramStart"/>
      <w:r>
        <w:rPr>
          <w:rFonts w:ascii="宋体" w:hAnsi="宋体" w:hint="eastAsia"/>
          <w:sz w:val="24"/>
        </w:rPr>
        <w:t>通交易</w:t>
      </w:r>
      <w:proofErr w:type="gramEnd"/>
      <w:r>
        <w:rPr>
          <w:rFonts w:ascii="宋体" w:hAnsi="宋体" w:hint="eastAsia"/>
          <w:sz w:val="24"/>
        </w:rPr>
        <w:t>的信息披露</w:t>
      </w:r>
    </w:p>
    <w:p w14:paraId="2372A68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基金管理人应在基金季度报告、基金中期报告、基金年度报告等定期报告和招募说明书（更新）等文件中披露参与港股</w:t>
      </w:r>
      <w:proofErr w:type="gramStart"/>
      <w:r>
        <w:rPr>
          <w:rFonts w:ascii="宋体" w:hAnsi="宋体" w:hint="eastAsia"/>
          <w:sz w:val="24"/>
        </w:rPr>
        <w:t>通交易</w:t>
      </w:r>
      <w:proofErr w:type="gramEnd"/>
      <w:r>
        <w:rPr>
          <w:rFonts w:ascii="宋体" w:hAnsi="宋体" w:hint="eastAsia"/>
          <w:sz w:val="24"/>
        </w:rPr>
        <w:t>的相关情况。</w:t>
      </w:r>
    </w:p>
    <w:p w14:paraId="006C8469" w14:textId="77777777" w:rsidR="008A6127" w:rsidRDefault="00437D9F">
      <w:pPr>
        <w:snapToGrid w:val="0"/>
        <w:spacing w:line="360" w:lineRule="auto"/>
        <w:ind w:firstLineChars="200" w:firstLine="480"/>
        <w:rPr>
          <w:rFonts w:ascii="宋体" w:hAnsi="宋体"/>
          <w:sz w:val="24"/>
        </w:rPr>
      </w:pPr>
      <w:r>
        <w:rPr>
          <w:rFonts w:ascii="宋体" w:hAnsi="宋体"/>
          <w:sz w:val="24"/>
        </w:rPr>
        <w:t>14</w:t>
      </w:r>
      <w:r>
        <w:rPr>
          <w:rFonts w:ascii="宋体" w:hAnsi="宋体" w:hint="eastAsia"/>
          <w:sz w:val="24"/>
        </w:rPr>
        <w:t>、</w:t>
      </w:r>
      <w:r>
        <w:rPr>
          <w:rFonts w:ascii="宋体" w:hAnsi="宋体"/>
          <w:sz w:val="24"/>
        </w:rPr>
        <w:t>中国证监会规定的其他信息。</w:t>
      </w:r>
      <w:bookmarkEnd w:id="363"/>
    </w:p>
    <w:p w14:paraId="5E20560F"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（六）暂停或延迟信息披露的情形</w:t>
      </w:r>
    </w:p>
    <w:p w14:paraId="199253D8"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、不可抗力；</w:t>
      </w:r>
    </w:p>
    <w:p w14:paraId="1DA754F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2、基金投资所涉及的证券、期货交易所遇法定节假日或因其他原因暂停营业时；</w:t>
      </w:r>
    </w:p>
    <w:p w14:paraId="37737D38"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、发生暂停估值的情形；</w:t>
      </w:r>
      <w:r>
        <w:rPr>
          <w:rFonts w:ascii="宋体" w:hAnsi="宋体"/>
          <w:sz w:val="24"/>
        </w:rPr>
        <w:t xml:space="preserve"> </w:t>
      </w:r>
    </w:p>
    <w:p w14:paraId="64979FFD"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、法律法规、中国证监会规定或基金合同约定的其他情形。</w:t>
      </w:r>
    </w:p>
    <w:p w14:paraId="27E1942A"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（七）</w:t>
      </w:r>
      <w:r>
        <w:rPr>
          <w:rFonts w:hAnsi="宋体"/>
          <w:b/>
          <w:sz w:val="24"/>
          <w:szCs w:val="24"/>
        </w:rPr>
        <w:t>信息披露事务管理</w:t>
      </w:r>
    </w:p>
    <w:p w14:paraId="13FDCE47"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基金管理人、基金托管人应当建立健全信息披露管理制度，指定</w:t>
      </w:r>
      <w:r>
        <w:rPr>
          <w:rFonts w:ascii="宋体" w:hAnsi="宋体" w:hint="eastAsia"/>
          <w:sz w:val="24"/>
        </w:rPr>
        <w:t>专门部门及</w:t>
      </w:r>
      <w:r>
        <w:rPr>
          <w:rFonts w:ascii="宋体" w:hAnsi="宋体" w:hint="eastAsia"/>
          <w:sz w:val="24"/>
        </w:rPr>
        <w:lastRenderedPageBreak/>
        <w:t>高级管理人员</w:t>
      </w:r>
      <w:r>
        <w:rPr>
          <w:rFonts w:ascii="宋体" w:hAnsi="宋体"/>
          <w:sz w:val="24"/>
        </w:rPr>
        <w:t>负责管理信息披露事务。</w:t>
      </w:r>
    </w:p>
    <w:p w14:paraId="0ADF240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基金管理人、基金托管人应加强对未公开披露基金信息的管控，并建立基金敏感信息知情人登记制度。基金管理人、基金托管人及相关从业人员不得泄露未公开披露的基金信息。</w:t>
      </w:r>
    </w:p>
    <w:p w14:paraId="2D76F1A6" w14:textId="77777777" w:rsidR="008A6127" w:rsidRDefault="00437D9F">
      <w:pPr>
        <w:snapToGrid w:val="0"/>
        <w:spacing w:line="360" w:lineRule="auto"/>
        <w:ind w:firstLineChars="200" w:firstLine="480"/>
        <w:rPr>
          <w:rFonts w:ascii="宋体" w:hAnsi="宋体"/>
          <w:sz w:val="24"/>
        </w:rPr>
      </w:pPr>
      <w:r>
        <w:rPr>
          <w:rFonts w:ascii="宋体" w:hAnsi="宋体"/>
          <w:sz w:val="24"/>
        </w:rPr>
        <w:t>基金信息披露义务人公开披露基金信息，应当符合中国证监会相关基金信息披露内容与格式准则</w:t>
      </w:r>
      <w:r>
        <w:rPr>
          <w:rFonts w:ascii="宋体" w:hAnsi="宋体" w:hint="eastAsia"/>
          <w:sz w:val="24"/>
        </w:rPr>
        <w:t>等法规</w:t>
      </w:r>
      <w:r>
        <w:rPr>
          <w:rFonts w:ascii="宋体" w:hAnsi="宋体"/>
          <w:sz w:val="24"/>
        </w:rPr>
        <w:t>的规定。</w:t>
      </w:r>
    </w:p>
    <w:p w14:paraId="4721287F" w14:textId="77777777" w:rsidR="008A6127" w:rsidRDefault="00437D9F">
      <w:pPr>
        <w:snapToGrid w:val="0"/>
        <w:spacing w:line="360" w:lineRule="auto"/>
        <w:ind w:firstLineChars="200" w:firstLine="480"/>
        <w:rPr>
          <w:rFonts w:ascii="宋体" w:hAnsi="宋体"/>
          <w:sz w:val="24"/>
        </w:rPr>
      </w:pPr>
      <w:r>
        <w:rPr>
          <w:rFonts w:ascii="宋体" w:hAnsi="宋体"/>
          <w:sz w:val="24"/>
        </w:rPr>
        <w:t>基金托管人应当按照相关法律法规、中国证监会的规定和《基金合同》的约定，对基金管理人编制的基金资产净值、</w:t>
      </w:r>
      <w:r>
        <w:rPr>
          <w:rFonts w:ascii="宋体" w:hAnsi="宋体" w:hint="eastAsia"/>
          <w:sz w:val="24"/>
        </w:rPr>
        <w:t>各类基金份额的</w:t>
      </w:r>
      <w:r>
        <w:rPr>
          <w:rFonts w:ascii="宋体" w:hAnsi="宋体"/>
          <w:sz w:val="24"/>
        </w:rPr>
        <w:t>基金份额净值、基金份额申购赎回价格、基金定期报告</w:t>
      </w:r>
      <w:r>
        <w:rPr>
          <w:rFonts w:ascii="宋体" w:hAnsi="宋体" w:hint="eastAsia"/>
          <w:sz w:val="24"/>
        </w:rPr>
        <w:t>、</w:t>
      </w:r>
      <w:r>
        <w:rPr>
          <w:rFonts w:ascii="宋体" w:hAnsi="宋体"/>
          <w:sz w:val="24"/>
        </w:rPr>
        <w:t>更新的招募说明书</w:t>
      </w:r>
      <w:r>
        <w:rPr>
          <w:rFonts w:ascii="宋体" w:hAnsi="宋体" w:hint="eastAsia"/>
          <w:sz w:val="24"/>
        </w:rPr>
        <w:t>、基金产品资料概要、基金清算报告</w:t>
      </w:r>
      <w:r>
        <w:rPr>
          <w:rFonts w:ascii="宋体" w:hAnsi="宋体"/>
          <w:sz w:val="24"/>
        </w:rPr>
        <w:t>等公开披露的相关基金信息进行复核、审查，并向基金管理人</w:t>
      </w:r>
      <w:r>
        <w:rPr>
          <w:rFonts w:ascii="宋体" w:hAnsi="宋体" w:hint="eastAsia"/>
          <w:sz w:val="24"/>
        </w:rPr>
        <w:t>出具书面文件、盖章确认或以</w:t>
      </w:r>
      <w:r>
        <w:rPr>
          <w:rFonts w:ascii="宋体" w:hAnsi="宋体"/>
          <w:sz w:val="24"/>
        </w:rPr>
        <w:t>XBRL的形式</w:t>
      </w:r>
      <w:r>
        <w:rPr>
          <w:rFonts w:ascii="宋体" w:hAnsi="宋体" w:hint="eastAsia"/>
          <w:sz w:val="24"/>
        </w:rPr>
        <w:t>确认。</w:t>
      </w:r>
    </w:p>
    <w:p w14:paraId="5E1B7D02"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基金管理人、基金托管人应当在规定媒介中选择披露信息的</w:t>
      </w:r>
      <w:r>
        <w:rPr>
          <w:rFonts w:ascii="宋体" w:hAnsi="宋体" w:hint="eastAsia"/>
          <w:sz w:val="24"/>
        </w:rPr>
        <w:t>媒介</w:t>
      </w:r>
      <w:r>
        <w:rPr>
          <w:rFonts w:ascii="宋体" w:hAnsi="宋体"/>
          <w:sz w:val="24"/>
        </w:rPr>
        <w:t>。</w:t>
      </w:r>
    </w:p>
    <w:p w14:paraId="5F978CA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基金管理人、基金托管人应当向中国证监会基金电子披露网站报送拟披露的基金信息，并保证相关报送信息的真实、准确、完整、及时。</w:t>
      </w:r>
    </w:p>
    <w:p w14:paraId="53FB646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基金托管人除按法律法规要求披露信息外，也可在遵循相关法律法规要求的前提下，自主提供信息披露服务，按照《信息披露办法》自主披露信息如产生信息披露费用，该费用不得从基金财产中列支。</w:t>
      </w:r>
    </w:p>
    <w:p w14:paraId="6E4730FC" w14:textId="77777777" w:rsidR="008A6127" w:rsidRDefault="00437D9F">
      <w:pPr>
        <w:snapToGrid w:val="0"/>
        <w:spacing w:line="360" w:lineRule="auto"/>
        <w:ind w:firstLineChars="200" w:firstLine="480"/>
        <w:rPr>
          <w:rFonts w:ascii="宋体" w:hAnsi="宋体"/>
          <w:sz w:val="24"/>
        </w:rPr>
      </w:pPr>
      <w:r>
        <w:rPr>
          <w:rFonts w:ascii="宋体" w:hAnsi="宋体"/>
          <w:sz w:val="24"/>
        </w:rPr>
        <w:t>为基金信息披露义务人公开披露的基金信息出具审计报告、法律意见书的专业机构，应当制作工作底稿，并将相关档案至少保存到《基金合同》终止后</w:t>
      </w:r>
      <w:r>
        <w:rPr>
          <w:rFonts w:ascii="宋体" w:hAnsi="宋体" w:hint="eastAsia"/>
          <w:sz w:val="24"/>
        </w:rPr>
        <w:t>10</w:t>
      </w:r>
      <w:r>
        <w:rPr>
          <w:rFonts w:ascii="宋体" w:hAnsi="宋体"/>
          <w:sz w:val="24"/>
        </w:rPr>
        <w:t>年。</w:t>
      </w:r>
    </w:p>
    <w:p w14:paraId="3C2F1986"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（八）</w:t>
      </w:r>
      <w:r>
        <w:rPr>
          <w:rFonts w:hAnsi="宋体"/>
          <w:b/>
          <w:sz w:val="24"/>
          <w:szCs w:val="24"/>
        </w:rPr>
        <w:t>信息披露文件的存放与查阅</w:t>
      </w:r>
    </w:p>
    <w:p w14:paraId="75F30BC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依法必须披露的信息发布后，基金管理人、基金托管人应当按照相关法律法规规定将信息置备于其</w:t>
      </w:r>
      <w:r>
        <w:rPr>
          <w:rFonts w:ascii="宋体" w:hAnsi="宋体"/>
          <w:sz w:val="24"/>
        </w:rPr>
        <w:t>住所，供公众查阅、复制。</w:t>
      </w:r>
    </w:p>
    <w:p w14:paraId="081708C4"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364" w:name="_Toc22571658"/>
      <w:bookmarkStart w:id="365" w:name="_Toc22571657"/>
      <w:bookmarkEnd w:id="364"/>
      <w:bookmarkEnd w:id="365"/>
      <w:r>
        <w:rPr>
          <w:rFonts w:ascii="Cambria" w:hAnsi="Cambria"/>
          <w:kern w:val="0"/>
        </w:rPr>
        <w:br w:type="page"/>
      </w:r>
      <w:bookmarkStart w:id="366" w:name="_Toc362533465"/>
      <w:bookmarkStart w:id="367" w:name="_Toc1619"/>
      <w:bookmarkStart w:id="368" w:name="_Toc12001"/>
      <w:bookmarkStart w:id="369" w:name="_Toc360793860"/>
      <w:bookmarkStart w:id="370" w:name="_Toc405455133"/>
      <w:bookmarkStart w:id="371" w:name="_Toc360794110"/>
      <w:bookmarkStart w:id="372" w:name="_Toc421532554"/>
      <w:bookmarkStart w:id="373" w:name="_Toc360794418"/>
      <w:bookmarkStart w:id="374" w:name="_Toc17593"/>
      <w:bookmarkStart w:id="375" w:name="_Toc6040"/>
      <w:bookmarkStart w:id="376" w:name="_Toc360794526"/>
      <w:bookmarkStart w:id="377" w:name="_Toc362455193"/>
      <w:bookmarkStart w:id="378" w:name="_Toc360793508"/>
      <w:bookmarkStart w:id="379" w:name="_Toc12512"/>
      <w:bookmarkStart w:id="380" w:name="_Toc204678796"/>
      <w:r>
        <w:rPr>
          <w:rFonts w:ascii="Cambria" w:hAnsi="Cambria" w:hint="eastAsia"/>
          <w:sz w:val="32"/>
          <w:szCs w:val="32"/>
        </w:rPr>
        <w:lastRenderedPageBreak/>
        <w:t>风险揭示</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76B8014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14:paraId="0C15AB8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基金在投资运作过程中可能面临各种风险，既包括市场风险，也包括基金自身的管理风险、技术风险和合</w:t>
      </w:r>
      <w:proofErr w:type="gramStart"/>
      <w:r>
        <w:rPr>
          <w:rFonts w:ascii="宋体" w:hAnsi="宋体" w:hint="eastAsia"/>
          <w:sz w:val="24"/>
        </w:rPr>
        <w:t>规</w:t>
      </w:r>
      <w:proofErr w:type="gramEnd"/>
      <w:r>
        <w:rPr>
          <w:rFonts w:ascii="宋体" w:hAnsi="宋体" w:hint="eastAsia"/>
          <w:sz w:val="24"/>
        </w:rPr>
        <w:t>风险等。巨额赎回风险是开放式基金所特有的一种风险，即当单个开放日内的基金份额净赎回申请(赎回申请份额总数加上基金转换中转出申请份额总数后扣除申购申请份额总数及基金转换中转入申请份额总数后的余额)超过前一开放日的基金总份额的10%时，投资人将可能无法及时赎回持有的全部基金份额。基金分为股票型基金、混合型基金、债券型基金、货币市场基金、基金中基金等不同类型，投资人投资不同类型的基金将获得不同的收益预期，也将承担不同程度的风险。一般来说，基金的收益预期越高，投资人承担的风险也越大。</w:t>
      </w:r>
    </w:p>
    <w:p w14:paraId="36613C0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投资人应当认真阅读《基金合同》、《招募说明书》等基金法律文件，了解基金的风险收益特征，并根据自身的投资目的、投资期限、投资经验、资产状况</w:t>
      </w:r>
      <w:proofErr w:type="gramStart"/>
      <w:r>
        <w:rPr>
          <w:rFonts w:ascii="宋体" w:hAnsi="宋体" w:hint="eastAsia"/>
          <w:sz w:val="24"/>
        </w:rPr>
        <w:t>等判断</w:t>
      </w:r>
      <w:proofErr w:type="gramEnd"/>
      <w:r>
        <w:rPr>
          <w:rFonts w:ascii="宋体" w:hAnsi="宋体" w:hint="eastAsia"/>
          <w:sz w:val="24"/>
        </w:rPr>
        <w:t>基金是否和投资人的风险承受能力相适应。</w:t>
      </w:r>
    </w:p>
    <w:p w14:paraId="4B48629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14:paraId="32FAD50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因分红等行为导致基金份额净值变化，不会改变基金的风险收益特征，不会降低基金投资风险或提高基金投资收益。以1元初始面值开展基金募集或因分红等行为导致基金份额净值调整至1元初始面值或1元附近，在市场波动等因素的影响下，基金投资仍有可能出现亏损或基金净值仍有可能低于初始面值。</w:t>
      </w:r>
    </w:p>
    <w:p w14:paraId="5BCA704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w:t>
      </w:r>
      <w:r>
        <w:rPr>
          <w:rFonts w:ascii="宋体" w:hAnsi="宋体" w:hint="eastAsia"/>
          <w:sz w:val="24"/>
        </w:rPr>
        <w:lastRenderedPageBreak/>
        <w:t>人自行负担。</w:t>
      </w:r>
    </w:p>
    <w:p w14:paraId="00419F9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基金份额持有人须了解并承受以下风险：</w:t>
      </w:r>
    </w:p>
    <w:p w14:paraId="709366B9"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（一）</w:t>
      </w:r>
      <w:bookmarkStart w:id="381" w:name="_Hlk1057168"/>
      <w:r>
        <w:rPr>
          <w:rFonts w:hAnsi="宋体" w:hint="eastAsia"/>
          <w:b/>
          <w:sz w:val="24"/>
          <w:szCs w:val="24"/>
        </w:rPr>
        <w:t>市场风险</w:t>
      </w:r>
      <w:bookmarkEnd w:id="381"/>
    </w:p>
    <w:p w14:paraId="61D8BA5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证券市场价格因受到经济因素、政治因素、投资心理和交易制度等各种因素的影响而引起的波动，将对基金收益水平产生潜在风险，主要包括：</w:t>
      </w:r>
    </w:p>
    <w:p w14:paraId="5272BDC8"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、政策风险。因国家宏观政策（如货币政策、财政政策、行业政策、地区发展政策等）和证券市场监管政策发生变化，导致市场价格波动而产生风险。</w:t>
      </w:r>
    </w:p>
    <w:p w14:paraId="16E77162"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、经济周期风险。证券市场受宏观经济运行的影响，而经济运行具有周期性的特点，宏观经济运行状况将对证券市场的收益水平产生影响，从而对基金收益造成影响。</w:t>
      </w:r>
    </w:p>
    <w:p w14:paraId="47F57A44"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14:paraId="2F606F5A"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、上市公司经营风险。上市公司的经营状况受多种因素影响，如管理能力、财务状况、市场前景、行业竞争、人员素质等，这些都会导致企业的盈利发生变化。</w:t>
      </w:r>
    </w:p>
    <w:p w14:paraId="219C91B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如果基金所投资的上市公司经营不善，其股票价格可能下跌，或者能够用于分配的利润减少，使基金投资收益下降。虽然基金可以通过投资多样化来分散这种非系统风险，但不能完全规避。</w:t>
      </w:r>
    </w:p>
    <w:p w14:paraId="0E8EA792" w14:textId="77777777"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、购买力风险。基金投资的目的是基金资产的保值增值，如果发生通货膨胀，基金投资于证券所获得的收益可能会被通货膨胀抵消，从而使基金的实际收益下降，影响基金资产的保值增值。</w:t>
      </w:r>
    </w:p>
    <w:p w14:paraId="11BF4536"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（二）</w:t>
      </w:r>
      <w:bookmarkStart w:id="382" w:name="_Hlk1057175"/>
      <w:r>
        <w:rPr>
          <w:rFonts w:hAnsi="宋体" w:hint="eastAsia"/>
          <w:b/>
          <w:sz w:val="24"/>
          <w:szCs w:val="24"/>
        </w:rPr>
        <w:t>管理风险</w:t>
      </w:r>
      <w:bookmarkEnd w:id="382"/>
    </w:p>
    <w:p w14:paraId="71CEF2C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在基金管理运作过程中，基金管理人的知识、技能、经验、判断等主观因素会影响其对相关信息和经济形势、证券价格走势的判断，从而影响基金收益水平。</w:t>
      </w:r>
    </w:p>
    <w:p w14:paraId="2B454F35"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（三）</w:t>
      </w:r>
      <w:bookmarkStart w:id="383" w:name="_Hlk1057181"/>
      <w:r>
        <w:rPr>
          <w:rFonts w:hAnsi="宋体" w:hint="eastAsia"/>
          <w:b/>
          <w:sz w:val="24"/>
          <w:szCs w:val="24"/>
        </w:rPr>
        <w:t>流动性风险</w:t>
      </w:r>
      <w:bookmarkEnd w:id="383"/>
    </w:p>
    <w:p w14:paraId="1CFC68A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w:t>
      </w:r>
      <w:proofErr w:type="gramStart"/>
      <w:r>
        <w:rPr>
          <w:rFonts w:ascii="宋体" w:hAnsi="宋体" w:hint="eastAsia"/>
          <w:sz w:val="24"/>
        </w:rPr>
        <w:t>仓位</w:t>
      </w:r>
      <w:proofErr w:type="gramEnd"/>
      <w:r>
        <w:rPr>
          <w:rFonts w:ascii="宋体" w:hAnsi="宋体" w:hint="eastAsia"/>
          <w:sz w:val="24"/>
        </w:rPr>
        <w:t>调整的困难，导致流动性风险，可</w:t>
      </w:r>
      <w:r>
        <w:rPr>
          <w:rFonts w:ascii="宋体" w:hAnsi="宋体" w:hint="eastAsia"/>
          <w:sz w:val="24"/>
        </w:rPr>
        <w:lastRenderedPageBreak/>
        <w:t>能影响基金份额净值。</w:t>
      </w:r>
    </w:p>
    <w:p w14:paraId="1A481561"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、本基金的申购、赎回安排</w:t>
      </w:r>
    </w:p>
    <w:p w14:paraId="5A68F8F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本基金采用开放方式运作，投资人在开放日办理基金份额的申购和赎回，具体办理时间为上海证券交易所、深圳证券交易所的正常交易日的交易时间，若本基金参与港股</w:t>
      </w:r>
      <w:proofErr w:type="gramStart"/>
      <w:r>
        <w:rPr>
          <w:rFonts w:ascii="宋体" w:hAnsi="宋体" w:hint="eastAsia"/>
          <w:sz w:val="24"/>
        </w:rPr>
        <w:t>通交易且</w:t>
      </w:r>
      <w:proofErr w:type="gramEnd"/>
      <w:r>
        <w:rPr>
          <w:rFonts w:ascii="宋体" w:hAnsi="宋体" w:hint="eastAsia"/>
          <w:sz w:val="24"/>
        </w:rPr>
        <w:t>该工作日为非港股</w:t>
      </w:r>
      <w:proofErr w:type="gramStart"/>
      <w:r>
        <w:rPr>
          <w:rFonts w:ascii="宋体" w:hAnsi="宋体" w:hint="eastAsia"/>
          <w:sz w:val="24"/>
        </w:rPr>
        <w:t>通交</w:t>
      </w:r>
      <w:proofErr w:type="gramEnd"/>
      <w:r>
        <w:rPr>
          <w:rFonts w:ascii="宋体" w:hAnsi="宋体" w:hint="eastAsia"/>
          <w:sz w:val="24"/>
        </w:rPr>
        <w:t>易日时，则本基金可以不开放申购、赎回和其他业务，基金管理人为此决定不开放申购、赎回或其他业务的应按法律法规公告，但基金管理人根据法律法规、中国证监会的要求或基金合同的规定公告暂停申购、赎回时除外。基金管理人自基金合同生效之日起不超过3个月开始办理申购和赎回，具体业务办理时间在申购/赎回开始公告中规定。</w:t>
      </w:r>
    </w:p>
    <w:p w14:paraId="0824D81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为切实保护存量基金份额持有人的合法权益，遵循基金份额持有人利益优先原则，本基金管理人将合理控制基金份额持有人集中度，审慎确认申购赎回业务申请，包括但不限于：</w:t>
      </w:r>
    </w:p>
    <w:p w14:paraId="08824CC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1</w:t>
      </w:r>
      <w:r>
        <w:rPr>
          <w:rFonts w:ascii="宋体" w:hAnsi="宋体" w:hint="eastAsia"/>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规定请参见招募说明书或相关公告。</w:t>
      </w:r>
    </w:p>
    <w:p w14:paraId="09C791F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2</w:t>
      </w:r>
      <w:r>
        <w:rPr>
          <w:rFonts w:ascii="宋体" w:hAnsi="宋体" w:hint="eastAsia"/>
          <w:sz w:val="24"/>
        </w:rPr>
        <w:t>）当本基金发生大额申购或赎回情形时，基金管理人可以采用摆动定价机制，以确保基金估值的公平性。具体处理原则与操作规范遵循相关法律法规以及监管部门、自律规则的规定。基金管理人依照《信息披露办法》的有关规定，将摆动定价机制的具体操作规则在</w:t>
      </w:r>
      <w:r>
        <w:rPr>
          <w:rFonts w:ascii="宋体" w:hAnsi="宋体"/>
          <w:sz w:val="24"/>
        </w:rPr>
        <w:t>规定媒介</w:t>
      </w:r>
      <w:r>
        <w:rPr>
          <w:rFonts w:ascii="宋体" w:hAnsi="宋体" w:hint="eastAsia"/>
          <w:sz w:val="24"/>
        </w:rPr>
        <w:t>上公告。</w:t>
      </w:r>
    </w:p>
    <w:p w14:paraId="48382C6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3</w:t>
      </w:r>
      <w:r>
        <w:rPr>
          <w:rFonts w:ascii="宋体" w:hAnsi="宋体" w:hint="eastAsia"/>
          <w:sz w:val="24"/>
        </w:rPr>
        <w:t>）本基金管理人对持续持有期少于7日的投资者收取不低于1.5%的赎回费，并全额计入基金财产。</w:t>
      </w:r>
    </w:p>
    <w:p w14:paraId="2E0CBD5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4</w:t>
      </w:r>
      <w:r>
        <w:rPr>
          <w:rFonts w:ascii="宋体" w:hAnsi="宋体" w:hint="eastAsia"/>
          <w:sz w:val="24"/>
        </w:rPr>
        <w:t>）当前一估值日基金资产净值50%以上的资产出现无可参考的活跃市场价格且采用估值技术</w:t>
      </w:r>
      <w:proofErr w:type="gramStart"/>
      <w:r>
        <w:rPr>
          <w:rFonts w:ascii="宋体" w:hAnsi="宋体" w:hint="eastAsia"/>
          <w:sz w:val="24"/>
        </w:rPr>
        <w:t>仍导致</w:t>
      </w:r>
      <w:proofErr w:type="gramEnd"/>
      <w:r>
        <w:rPr>
          <w:rFonts w:ascii="宋体" w:hAnsi="宋体" w:hint="eastAsia"/>
          <w:sz w:val="24"/>
        </w:rPr>
        <w:t>公允价值存在重大不确定性时，经与基金托管人协商确认后，基金管理人应当暂停接受基金申购申请、延缓支付赎回款项或暂停接受基金赎回申请。</w:t>
      </w:r>
    </w:p>
    <w:p w14:paraId="39C9975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具体措施详见本招募说明书“第八部分</w:t>
      </w:r>
      <w:r>
        <w:rPr>
          <w:rFonts w:ascii="宋体" w:hAnsi="宋体" w:hint="eastAsia"/>
          <w:sz w:val="24"/>
        </w:rPr>
        <w:tab/>
        <w:t>基金份额的申购、赎回与转换”。</w:t>
      </w:r>
    </w:p>
    <w:p w14:paraId="05BFB66E"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、投资市场、行业及资产的流动性风险评估</w:t>
      </w:r>
    </w:p>
    <w:p w14:paraId="26C65AE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本基金的投资市场主要为证券交易所、全国银行间债券市场等流动性较好的</w:t>
      </w:r>
      <w:r>
        <w:rPr>
          <w:rFonts w:ascii="宋体" w:hAnsi="宋体" w:hint="eastAsia"/>
          <w:sz w:val="24"/>
        </w:rPr>
        <w:lastRenderedPageBreak/>
        <w:t>规范型交易场所，主要投资对象为具有良好流动性的金融工具（包括国内依法发行上市的股票、债券和货币市场工具等）。本基金将坚持组合管理、分散投资的基本原则，严格按照法律法规的有关规定和基金合同约定的投资范围与比例限制实施投资管理，综合评估在正常市场环境下本基金的流动性风险适中。</w:t>
      </w:r>
    </w:p>
    <w:p w14:paraId="229AFC15"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、巨额赎回情形下的流动性风险管理措施</w:t>
      </w:r>
    </w:p>
    <w:p w14:paraId="2EC57E22" w14:textId="77777777" w:rsidR="008A6127" w:rsidRDefault="00437D9F">
      <w:pPr>
        <w:snapToGrid w:val="0"/>
        <w:spacing w:line="360" w:lineRule="auto"/>
        <w:ind w:firstLineChars="200" w:firstLine="480"/>
        <w:rPr>
          <w:rFonts w:ascii="宋体" w:hAnsi="宋体"/>
          <w:sz w:val="24"/>
        </w:rPr>
      </w:pPr>
      <w:r>
        <w:rPr>
          <w:rFonts w:ascii="宋体" w:hAnsi="宋体"/>
          <w:sz w:val="24"/>
        </w:rPr>
        <w:t>若本基金单个开放日内的基金份额净赎回申请(赎回申请份额总数加上基金转换中转出申请份额总数后扣除申购申请份额总数及基金转换中转入申请份额总数后的余额)超过前一开放日的基金总份额的10</w:t>
      </w:r>
      <w:r>
        <w:rPr>
          <w:rFonts w:ascii="宋体" w:hAnsi="宋体" w:hint="eastAsia"/>
          <w:sz w:val="24"/>
        </w:rPr>
        <w:t>%</w:t>
      </w:r>
      <w:r>
        <w:rPr>
          <w:rFonts w:ascii="宋体" w:hAnsi="宋体"/>
          <w:sz w:val="24"/>
        </w:rPr>
        <w:t>，即认为是发生了巨额赎回。</w:t>
      </w:r>
    </w:p>
    <w:p w14:paraId="6984A349" w14:textId="77777777" w:rsidR="008A6127" w:rsidRDefault="00437D9F">
      <w:pPr>
        <w:snapToGrid w:val="0"/>
        <w:spacing w:line="360" w:lineRule="auto"/>
        <w:ind w:firstLineChars="200" w:firstLine="480"/>
        <w:rPr>
          <w:rFonts w:ascii="宋体" w:hAnsi="宋体"/>
          <w:sz w:val="24"/>
        </w:rPr>
      </w:pPr>
      <w:r>
        <w:rPr>
          <w:rFonts w:ascii="宋体" w:hAnsi="宋体"/>
          <w:sz w:val="24"/>
        </w:rPr>
        <w:t>当基金出现巨额赎回时，基金管理人可以根据基金当时的资产组合状况决定全额赎回或部分延期赎回。</w:t>
      </w:r>
    </w:p>
    <w:p w14:paraId="2079058F" w14:textId="77777777" w:rsidR="008A6127" w:rsidRDefault="00437D9F">
      <w:pPr>
        <w:snapToGrid w:val="0"/>
        <w:spacing w:line="360" w:lineRule="auto"/>
        <w:ind w:firstLineChars="200" w:firstLine="480"/>
        <w:rPr>
          <w:rFonts w:ascii="宋体" w:hAnsi="宋体"/>
          <w:sz w:val="24"/>
        </w:rPr>
      </w:pPr>
      <w:r>
        <w:rPr>
          <w:rFonts w:ascii="宋体" w:hAnsi="宋体"/>
          <w:sz w:val="24"/>
        </w:rPr>
        <w:t>（1）全额赎回：当基金管理人认为有能力支付投资人的全部赎回申请时，按正常赎回程序执行。</w:t>
      </w:r>
    </w:p>
    <w:p w14:paraId="5DD6F0DA"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2</w:t>
      </w:r>
      <w:r>
        <w:rPr>
          <w:rFonts w:ascii="宋体" w:hAnsi="宋体"/>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ascii="宋体" w:hAnsi="宋体" w:hint="eastAsia"/>
          <w:sz w:val="24"/>
        </w:rPr>
        <w:t>1</w:t>
      </w:r>
      <w:r>
        <w:rPr>
          <w:rFonts w:ascii="宋体" w:hAnsi="宋体"/>
          <w:sz w:val="24"/>
        </w:rPr>
        <w:t>0</w:t>
      </w:r>
      <w:r>
        <w:rPr>
          <w:rFonts w:ascii="宋体" w:hAnsi="宋体" w:hint="eastAsia"/>
          <w:sz w:val="24"/>
        </w:rPr>
        <w:t>%</w:t>
      </w:r>
      <w:r>
        <w:rPr>
          <w:rFonts w:ascii="宋体" w:hAnsi="宋体"/>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ascii="宋体" w:hAnsi="宋体"/>
          <w:sz w:val="24"/>
        </w:rPr>
        <w:t>并以下</w:t>
      </w:r>
      <w:proofErr w:type="gramEnd"/>
      <w:r>
        <w:rPr>
          <w:rFonts w:ascii="宋体" w:hAnsi="宋体"/>
          <w:sz w:val="24"/>
        </w:rPr>
        <w:t>一开放日</w:t>
      </w:r>
      <w:r>
        <w:rPr>
          <w:rFonts w:ascii="宋体" w:hAnsi="宋体" w:hint="eastAsia"/>
          <w:sz w:val="24"/>
        </w:rPr>
        <w:t>该类基金份额</w:t>
      </w:r>
      <w:r>
        <w:rPr>
          <w:rFonts w:ascii="宋体" w:hAnsi="宋体"/>
          <w:sz w:val="24"/>
        </w:rPr>
        <w:t>的基金份额净值为基础计算赎回金额，以此类推，直到全部赎回为止。如投资人在提交赎回申请时未作明确选择，投资人未能赎回部分作自动延期赎回处理。</w:t>
      </w:r>
      <w:r>
        <w:rPr>
          <w:rFonts w:ascii="宋体" w:hAnsi="宋体" w:hint="eastAsia"/>
          <w:sz w:val="24"/>
        </w:rPr>
        <w:t>部分延期赎回不受单笔赎回最低份额的限制。</w:t>
      </w:r>
    </w:p>
    <w:p w14:paraId="19E2B3FD"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如果本基金发生巨额赎回且单个基金份额持有人的赎回申请超过上一开放日基金总份额10%的情形下，基金管理人有权采取如下措施：对于该类基金份额持有人当日超过10%的赎回申请，可以对其赎回申请延期办理，延期的赎回申请转入下一个开放日继续赎回，当日未获受理的部分赎回申请将被撤销。延期的赎回申请与下一开放日赎回申请一并处理，无优先权</w:t>
      </w:r>
      <w:proofErr w:type="gramStart"/>
      <w:r>
        <w:rPr>
          <w:rFonts w:ascii="宋体" w:hAnsi="宋体" w:hint="eastAsia"/>
          <w:sz w:val="24"/>
        </w:rPr>
        <w:t>并以下</w:t>
      </w:r>
      <w:proofErr w:type="gramEnd"/>
      <w:r>
        <w:rPr>
          <w:rFonts w:ascii="宋体" w:hAnsi="宋体" w:hint="eastAsia"/>
          <w:sz w:val="24"/>
        </w:rPr>
        <w:t>一开放日该类基金份额的基金份额净值为基础计算赎回金额，以此类推，直到全部赎回为止；对于该类基金份额持有人未超过上述比例的部分，基金管理人可以根据前段“（1）</w:t>
      </w:r>
      <w:r>
        <w:rPr>
          <w:rFonts w:ascii="宋体" w:hAnsi="宋体" w:hint="eastAsia"/>
          <w:sz w:val="24"/>
        </w:rPr>
        <w:lastRenderedPageBreak/>
        <w:t>全额赎回”或“（2）部分延期赎回”的约定方式与其他基金份额持有人的赎回申请一并办理。但是，如该类基金份额持有人在当日选择取消赎回，则其当日未获受理的部分赎回申请将被撤销。</w:t>
      </w:r>
    </w:p>
    <w:p w14:paraId="291FADC1" w14:textId="77777777" w:rsidR="008A6127" w:rsidRDefault="00437D9F">
      <w:pPr>
        <w:snapToGrid w:val="0"/>
        <w:spacing w:line="360" w:lineRule="auto"/>
        <w:ind w:firstLineChars="200" w:firstLine="480"/>
        <w:rPr>
          <w:rFonts w:ascii="宋体" w:hAnsi="宋体"/>
          <w:sz w:val="24"/>
        </w:rPr>
      </w:pPr>
      <w:r>
        <w:rPr>
          <w:rFonts w:ascii="宋体" w:hAnsi="宋体"/>
          <w:sz w:val="24"/>
        </w:rPr>
        <w:t>（</w:t>
      </w:r>
      <w:r>
        <w:rPr>
          <w:rFonts w:ascii="宋体" w:hAnsi="宋体" w:hint="eastAsia"/>
          <w:sz w:val="24"/>
        </w:rPr>
        <w:t>4</w:t>
      </w:r>
      <w:r>
        <w:rPr>
          <w:rFonts w:ascii="宋体" w:hAnsi="宋体"/>
          <w:sz w:val="24"/>
        </w:rPr>
        <w:t>）暂停赎回：连续2</w:t>
      </w:r>
      <w:r>
        <w:rPr>
          <w:rFonts w:ascii="宋体" w:hAnsi="宋体" w:hint="eastAsia"/>
          <w:sz w:val="24"/>
        </w:rPr>
        <w:t>个开放</w:t>
      </w:r>
      <w:r>
        <w:rPr>
          <w:rFonts w:ascii="宋体" w:hAnsi="宋体"/>
          <w:sz w:val="24"/>
        </w:rPr>
        <w:t>日以上(含本数)发生巨额赎回，如基金管理人认为有必要，可暂停接受基金的赎回申请；已经接受的赎回申请可以延缓支付赎回款项，但不得超过20个工作日，并应当在规定媒介上进行公告。</w:t>
      </w:r>
    </w:p>
    <w:p w14:paraId="3F598B79"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、实施备用的流动性风险管理工具的情形、程序及对投资者的潜在影响</w:t>
      </w:r>
    </w:p>
    <w:p w14:paraId="694869E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本基金在面临大规模赎回的情况下有可能因为无法变现造成流动性风险。</w:t>
      </w:r>
    </w:p>
    <w:p w14:paraId="1A14F2E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如果出现流动性风险，基金管理人经与基金托管人协商，在确保投资者得到公平对待的前提下，可实施备用的流动性风险管理工具，包括但不限于</w:t>
      </w:r>
      <w:bookmarkStart w:id="384" w:name="_Hlk5908056"/>
      <w:r>
        <w:rPr>
          <w:rFonts w:ascii="宋体" w:hAnsi="宋体" w:hint="eastAsia"/>
          <w:sz w:val="24"/>
        </w:rPr>
        <w:t>延期办理巨额赎回申请、暂停接受赎回申请、延缓支付赎回款项</w:t>
      </w:r>
      <w:bookmarkEnd w:id="384"/>
      <w:r>
        <w:rPr>
          <w:rFonts w:ascii="宋体" w:hAnsi="宋体" w:hint="eastAsia"/>
          <w:sz w:val="24"/>
        </w:rPr>
        <w:t>、收取短期赎回费、摆动定价、暂停基金估值等，作为特定情形下基金管理人流动性风险管理的辅助措施。同时基金管理人应时刻防范可能产生的流动性风险，对流动性风险进行日常监控，保护持有人的利益。当实施备用的流动性风险管理工具时，投资者将可能面临其赎回申请被拒绝或延期办理、赎回款项延缓支付，或面临赎回成本或申购成本较高等风险。</w:t>
      </w:r>
    </w:p>
    <w:p w14:paraId="30B681A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延期办理巨额赎回申请、暂停接受赎回申请、延缓支付赎回款项能够避免在巨额赎回时，因变现需求过大，市场交易量不足，导致证券不能低成本地转变为现金，进而对基金资产净值造成较大波动的情形，对基金份额持有人来说，存在不能及时赎回基金份额的风险。</w:t>
      </w:r>
    </w:p>
    <w:p w14:paraId="649883F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（2）收取短期赎回</w:t>
      </w:r>
      <w:proofErr w:type="gramStart"/>
      <w:r>
        <w:rPr>
          <w:rFonts w:ascii="宋体" w:hAnsi="宋体" w:hint="eastAsia"/>
          <w:sz w:val="24"/>
        </w:rPr>
        <w:t>费能够</w:t>
      </w:r>
      <w:proofErr w:type="gramEnd"/>
      <w:r>
        <w:rPr>
          <w:rFonts w:ascii="宋体" w:hAnsi="宋体" w:hint="eastAsia"/>
          <w:sz w:val="24"/>
        </w:rPr>
        <w:t>控制资金短期频繁的申购赎回，避免净值大幅波动，维护净值稳定。本基金对持有期限少于 7日的投资人，收取1.5%的赎回费，并将上述赎回费全额计入基金财产。</w:t>
      </w:r>
    </w:p>
    <w:p w14:paraId="4A0B593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（3）当前一估值日基金资产净值 50%以上的资产出现无可参考的活跃市场价格且采用估值技术</w:t>
      </w:r>
      <w:proofErr w:type="gramStart"/>
      <w:r>
        <w:rPr>
          <w:rFonts w:ascii="宋体" w:hAnsi="宋体" w:hint="eastAsia"/>
          <w:sz w:val="24"/>
        </w:rPr>
        <w:t>仍导致</w:t>
      </w:r>
      <w:proofErr w:type="gramEnd"/>
      <w:r>
        <w:rPr>
          <w:rFonts w:ascii="宋体" w:hAnsi="宋体" w:hint="eastAsia"/>
          <w:sz w:val="24"/>
        </w:rPr>
        <w:t>公允价值存在重大不确定性时，经与基金托管人协商确认后，基金管理人应当暂停基金估值，并采取延缓支付赎回款项或暂停接受基金申购赎回申请的措施。基金份额持有人存在不能及时赎回基金份额的风险。</w:t>
      </w:r>
    </w:p>
    <w:p w14:paraId="306AA5E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通过摆动定价将基金调整投资组合的市场冲击成本分配给实际申购、赎回的投资者，从而减少对存量基金份额持有人利益的不利影响，确保投资者的合法权益不受损害并得到公平对待，当日参与申购和赎回交易的投资者存在承担</w:t>
      </w:r>
      <w:r>
        <w:rPr>
          <w:rFonts w:ascii="宋体" w:hAnsi="宋体" w:hint="eastAsia"/>
          <w:sz w:val="24"/>
        </w:rPr>
        <w:lastRenderedPageBreak/>
        <w:t>申购或者赎回产生的交易及其</w:t>
      </w:r>
      <w:proofErr w:type="gramStart"/>
      <w:r>
        <w:rPr>
          <w:rFonts w:ascii="宋体" w:hAnsi="宋体" w:hint="eastAsia"/>
          <w:sz w:val="24"/>
        </w:rPr>
        <w:t>他成本</w:t>
      </w:r>
      <w:proofErr w:type="gramEnd"/>
      <w:r>
        <w:rPr>
          <w:rFonts w:ascii="宋体" w:hAnsi="宋体" w:hint="eastAsia"/>
          <w:sz w:val="24"/>
        </w:rPr>
        <w:t>的风险。</w:t>
      </w:r>
    </w:p>
    <w:p w14:paraId="066BE36B"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（四）</w:t>
      </w:r>
      <w:bookmarkStart w:id="385" w:name="_Hlk1057192"/>
      <w:r>
        <w:rPr>
          <w:rFonts w:hAnsi="宋体" w:hint="eastAsia"/>
          <w:b/>
          <w:sz w:val="24"/>
          <w:szCs w:val="24"/>
        </w:rPr>
        <w:t>信用风险</w:t>
      </w:r>
      <w:bookmarkEnd w:id="385"/>
    </w:p>
    <w:p w14:paraId="7400387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基金在交易过程中发生交收违约，或者基金所投资债券之发行人出现违约、拒绝支付到期本息，都可能导致基金资产损失和收益变化，从而产生风险。</w:t>
      </w:r>
    </w:p>
    <w:p w14:paraId="47822636"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（五）</w:t>
      </w:r>
      <w:bookmarkStart w:id="386" w:name="_Hlk1057197"/>
      <w:r>
        <w:rPr>
          <w:rFonts w:hAnsi="宋体" w:hint="eastAsia"/>
          <w:b/>
          <w:sz w:val="24"/>
          <w:szCs w:val="24"/>
        </w:rPr>
        <w:t>本基金投资策略所特有的风险</w:t>
      </w:r>
      <w:bookmarkEnd w:id="386"/>
    </w:p>
    <w:p w14:paraId="6700B37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14:paraId="20F1D1DF"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（六）</w:t>
      </w:r>
      <w:bookmarkStart w:id="387" w:name="_Hlk1057204"/>
      <w:r>
        <w:rPr>
          <w:rFonts w:hAnsi="宋体" w:hint="eastAsia"/>
          <w:b/>
          <w:sz w:val="24"/>
          <w:szCs w:val="24"/>
        </w:rPr>
        <w:t>投资可转换债券和可交换债券的特定风险</w:t>
      </w:r>
      <w:bookmarkEnd w:id="387"/>
    </w:p>
    <w:p w14:paraId="780D123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可转换债券和可交换债券是指持有人可以在约定的时间内按照约定的价格将持有的债券转换为普通股票的债券，是兼具债券性质和权益性质的投资工具。可转换债券和可交换债券既面临发行人无法按期偿付本息的信用风险，也面临二级市场价格波动的风险。另外，可转债和可交换</w:t>
      </w:r>
      <w:proofErr w:type="gramStart"/>
      <w:r>
        <w:rPr>
          <w:rFonts w:ascii="宋体" w:hAnsi="宋体" w:hint="eastAsia"/>
          <w:sz w:val="24"/>
        </w:rPr>
        <w:t>债一般</w:t>
      </w:r>
      <w:proofErr w:type="gramEnd"/>
      <w:r>
        <w:rPr>
          <w:rFonts w:ascii="宋体" w:hAnsi="宋体" w:hint="eastAsia"/>
          <w:sz w:val="24"/>
        </w:rPr>
        <w:t>具有强制赎回等条款，可能会增加相应的风险。</w:t>
      </w:r>
    </w:p>
    <w:p w14:paraId="28814072"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（七）</w:t>
      </w:r>
      <w:bookmarkStart w:id="388" w:name="_Hlk1057218"/>
      <w:r>
        <w:rPr>
          <w:rFonts w:hAnsi="宋体" w:hint="eastAsia"/>
          <w:b/>
          <w:sz w:val="24"/>
          <w:szCs w:val="24"/>
        </w:rPr>
        <w:t>投资股指期货的特定风险</w:t>
      </w:r>
      <w:bookmarkEnd w:id="388"/>
    </w:p>
    <w:p w14:paraId="0192152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w:t>
      </w:r>
      <w:proofErr w:type="gramStart"/>
      <w:r>
        <w:rPr>
          <w:rFonts w:ascii="宋体" w:hAnsi="宋体" w:hint="eastAsia"/>
          <w:sz w:val="24"/>
        </w:rPr>
        <w:t>基差风险</w:t>
      </w:r>
      <w:proofErr w:type="gramEnd"/>
      <w:r>
        <w:rPr>
          <w:rFonts w:ascii="宋体" w:hAnsi="宋体" w:hint="eastAsia"/>
          <w:sz w:val="24"/>
        </w:rPr>
        <w:t>、保证金风险、信用风险和操作风险。具体为：</w:t>
      </w:r>
    </w:p>
    <w:p w14:paraId="5C434F4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1</w:t>
      </w:r>
      <w:r>
        <w:rPr>
          <w:rFonts w:ascii="宋体" w:hAnsi="宋体" w:hint="eastAsia"/>
          <w:sz w:val="24"/>
        </w:rPr>
        <w:t>）市场风险是指由于股指期货价格变动而给投资者带来的风险。市场风险是股指期货投资中最主要的风险。</w:t>
      </w:r>
    </w:p>
    <w:p w14:paraId="1D45B1F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2</w:t>
      </w:r>
      <w:r>
        <w:rPr>
          <w:rFonts w:ascii="宋体" w:hAnsi="宋体" w:hint="eastAsia"/>
          <w:sz w:val="24"/>
        </w:rPr>
        <w:t>）流动性风险是指由于股指期货合约无法及时变现所带来的风险。</w:t>
      </w:r>
    </w:p>
    <w:p w14:paraId="15C8F4C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3</w:t>
      </w:r>
      <w:r>
        <w:rPr>
          <w:rFonts w:ascii="宋体" w:hAnsi="宋体" w:hint="eastAsia"/>
          <w:sz w:val="24"/>
        </w:rPr>
        <w:t>）</w:t>
      </w:r>
      <w:proofErr w:type="gramStart"/>
      <w:r>
        <w:rPr>
          <w:rFonts w:ascii="宋体" w:hAnsi="宋体" w:hint="eastAsia"/>
          <w:sz w:val="24"/>
        </w:rPr>
        <w:t>基差风险</w:t>
      </w:r>
      <w:proofErr w:type="gramEnd"/>
      <w:r>
        <w:rPr>
          <w:rFonts w:ascii="宋体" w:hAnsi="宋体" w:hint="eastAsia"/>
          <w:sz w:val="24"/>
        </w:rPr>
        <w:t>是指股指期货价格和指数价格之间的价格差的波动所造成的风险，以及不同股指期货合约价格之间价格差的波动所造成的期现价差风险。</w:t>
      </w:r>
    </w:p>
    <w:p w14:paraId="5963119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4</w:t>
      </w:r>
      <w:r>
        <w:rPr>
          <w:rFonts w:ascii="宋体" w:hAnsi="宋体" w:hint="eastAsia"/>
          <w:sz w:val="24"/>
        </w:rPr>
        <w:t>）保证金风险是指由于无法及时筹措资金满足建立或者维持股指期货合约头寸所要求的保证金而带来的风险。</w:t>
      </w:r>
    </w:p>
    <w:p w14:paraId="48A5C60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5</w:t>
      </w:r>
      <w:r>
        <w:rPr>
          <w:rFonts w:ascii="宋体" w:hAnsi="宋体" w:hint="eastAsia"/>
          <w:sz w:val="24"/>
        </w:rPr>
        <w:t>）信用风险是指期货经纪公司违约而产生损失的风险。</w:t>
      </w:r>
    </w:p>
    <w:p w14:paraId="1AAA2ED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6</w:t>
      </w:r>
      <w:r>
        <w:rPr>
          <w:rFonts w:ascii="宋体" w:hAnsi="宋体" w:hint="eastAsia"/>
          <w:sz w:val="24"/>
        </w:rPr>
        <w:t>）操作风险是指由于内部流程的不完善，业务人员出现差错或者疏漏，</w:t>
      </w:r>
      <w:r>
        <w:rPr>
          <w:rFonts w:ascii="宋体" w:hAnsi="宋体" w:hint="eastAsia"/>
          <w:sz w:val="24"/>
        </w:rPr>
        <w:lastRenderedPageBreak/>
        <w:t>或者系统出现故障等原因造成损失的风险。</w:t>
      </w:r>
    </w:p>
    <w:p w14:paraId="0DD4C2F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此外，由于衍生品通常具有杠杆效应，价格波动比标的工具更为剧烈，并且其定价相当复杂，不适当的估值也有可能使基金资产面临损失风险。</w:t>
      </w:r>
    </w:p>
    <w:p w14:paraId="3647EF58"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（八）</w:t>
      </w:r>
      <w:bookmarkStart w:id="389" w:name="_Hlk1057299"/>
      <w:r>
        <w:rPr>
          <w:rFonts w:hAnsi="宋体" w:hint="eastAsia"/>
          <w:b/>
          <w:sz w:val="24"/>
          <w:szCs w:val="24"/>
        </w:rPr>
        <w:t>投资港股通标的</w:t>
      </w:r>
      <w:proofErr w:type="gramStart"/>
      <w:r>
        <w:rPr>
          <w:rFonts w:hAnsi="宋体" w:hint="eastAsia"/>
          <w:b/>
          <w:sz w:val="24"/>
          <w:szCs w:val="24"/>
        </w:rPr>
        <w:t>的</w:t>
      </w:r>
      <w:proofErr w:type="gramEnd"/>
      <w:r>
        <w:rPr>
          <w:rFonts w:hAnsi="宋体" w:hint="eastAsia"/>
          <w:b/>
          <w:sz w:val="24"/>
          <w:szCs w:val="24"/>
        </w:rPr>
        <w:t>特定风险</w:t>
      </w:r>
      <w:bookmarkEnd w:id="389"/>
    </w:p>
    <w:p w14:paraId="00B5E19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本基金投资于港股通标的股票的比例不得超过股票资产的</w:t>
      </w:r>
      <w:r>
        <w:rPr>
          <w:rFonts w:ascii="宋体" w:hAnsi="宋体"/>
          <w:sz w:val="24"/>
        </w:rPr>
        <w:t>50%</w:t>
      </w:r>
      <w:r>
        <w:rPr>
          <w:rFonts w:ascii="宋体" w:hAnsi="宋体" w:hint="eastAsia"/>
          <w:sz w:val="24"/>
        </w:rPr>
        <w:t>，本基金可根据投资策略需要或不同配置地市场环境的变化，选择将部分基金资产投资于港股通标的股票或选择不将基金资产投资于港股通标的股票，基金资产并非必然投资港股通标的股票。</w:t>
      </w:r>
    </w:p>
    <w:p w14:paraId="5C9CBA9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除与其他投资于内地市场股票的基金所面临的共同风险外，本基金还面临港股</w:t>
      </w:r>
      <w:proofErr w:type="gramStart"/>
      <w:r>
        <w:rPr>
          <w:rFonts w:ascii="宋体" w:hAnsi="宋体" w:hint="eastAsia"/>
          <w:sz w:val="24"/>
        </w:rPr>
        <w:t>通机制</w:t>
      </w:r>
      <w:proofErr w:type="gramEnd"/>
      <w:r>
        <w:rPr>
          <w:rFonts w:ascii="宋体" w:hAnsi="宋体" w:hint="eastAsia"/>
          <w:sz w:val="24"/>
        </w:rPr>
        <w:t>下因投资环境、投资者结构、投资标的构成、市场制度以及交易规则等差异所带来的特有风险，包括但不限于：</w:t>
      </w:r>
    </w:p>
    <w:p w14:paraId="03AF3769"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）市场联动的风险</w:t>
      </w:r>
    </w:p>
    <w:p w14:paraId="73ED5C1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与内地</w:t>
      </w:r>
      <w:r>
        <w:rPr>
          <w:rFonts w:ascii="宋体" w:hAnsi="宋体"/>
          <w:sz w:val="24"/>
        </w:rPr>
        <w:t>A</w:t>
      </w:r>
      <w:r>
        <w:rPr>
          <w:rFonts w:ascii="宋体" w:hAnsi="宋体" w:hint="eastAsia"/>
          <w:sz w:val="24"/>
        </w:rPr>
        <w:t>股市场相比，港股市场上外汇资金流动更为自由，海外资金的流动对港股价格的影响巨大，港股价格与海外资金流动表现出高度相关性，本基金在参与港股市场投资时受到全球宏观经济和货币政策变动等因素所导致的系统风险相对更大。</w:t>
      </w:r>
    </w:p>
    <w:p w14:paraId="73F28085"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）股价波动的风险。</w:t>
      </w:r>
    </w:p>
    <w:p w14:paraId="393967E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港股市</w:t>
      </w:r>
      <w:proofErr w:type="gramStart"/>
      <w:r>
        <w:rPr>
          <w:rFonts w:ascii="宋体" w:hAnsi="宋体" w:hint="eastAsia"/>
          <w:sz w:val="24"/>
        </w:rPr>
        <w:t>场实行</w:t>
      </w:r>
      <w:proofErr w:type="gramEnd"/>
      <w:r>
        <w:rPr>
          <w:rFonts w:ascii="宋体" w:hAnsi="宋体"/>
          <w:sz w:val="24"/>
        </w:rPr>
        <w:t>T+0</w:t>
      </w:r>
      <w:r>
        <w:rPr>
          <w:rFonts w:ascii="宋体" w:hAnsi="宋体" w:hint="eastAsia"/>
          <w:sz w:val="24"/>
        </w:rPr>
        <w:t>回转交易机制（即当日买入的股票，在交收前可以于当日卖出），同时对个股不设涨跌幅限制，加之香港市场结构性产品和衍生品种</w:t>
      </w:r>
      <w:proofErr w:type="gramStart"/>
      <w:r>
        <w:rPr>
          <w:rFonts w:ascii="宋体" w:hAnsi="宋体" w:hint="eastAsia"/>
          <w:sz w:val="24"/>
        </w:rPr>
        <w:t>类相</w:t>
      </w:r>
      <w:proofErr w:type="gramEnd"/>
      <w:r>
        <w:rPr>
          <w:rFonts w:ascii="宋体" w:hAnsi="宋体" w:hint="eastAsia"/>
          <w:sz w:val="24"/>
        </w:rPr>
        <w:t>对丰富以及做空机制的存在；港股股价受到意外事件影响可能表现出比</w:t>
      </w:r>
      <w:r>
        <w:rPr>
          <w:rFonts w:ascii="宋体" w:hAnsi="宋体"/>
          <w:sz w:val="24"/>
        </w:rPr>
        <w:t>A</w:t>
      </w:r>
      <w:r>
        <w:rPr>
          <w:rFonts w:ascii="宋体" w:hAnsi="宋体" w:hint="eastAsia"/>
          <w:sz w:val="24"/>
        </w:rPr>
        <w:t>股更为剧烈的股价波动，本基金持仓的波动风险可能相对较大。</w:t>
      </w:r>
    </w:p>
    <w:p w14:paraId="6A54C17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3）汇率风险</w:t>
      </w:r>
    </w:p>
    <w:p w14:paraId="508DFDC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在现行港股</w:t>
      </w:r>
      <w:proofErr w:type="gramStart"/>
      <w:r>
        <w:rPr>
          <w:rFonts w:ascii="宋体" w:hAnsi="宋体" w:hint="eastAsia"/>
          <w:sz w:val="24"/>
        </w:rPr>
        <w:t>通机制</w:t>
      </w:r>
      <w:proofErr w:type="gramEnd"/>
      <w:r>
        <w:rPr>
          <w:rFonts w:ascii="宋体" w:hAnsi="宋体" w:hint="eastAsia"/>
          <w:sz w:val="24"/>
        </w:rPr>
        <w:t>下，港股的买卖是以港币报价，以人民币进行支付，并且资金不留港（港股交易后结算的净资金余额头寸以换汇的方式兑换为人民币），故本基金每日的港股买卖结算将进行相应的港币兑人民币的换汇操作，本基金承担港元对人民币汇率波动的风险，以及因汇率大幅波动引起账户透支的风险。</w:t>
      </w:r>
    </w:p>
    <w:p w14:paraId="724E243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另外本基金对港股买卖每日结算中所采用的报价汇率可能存在报价差异，本基金可能需额外承担买卖结算汇率报价点差所带来的损失；同时根据港股通的规则设定，本基金在每日买卖港股申请时将参考汇率买入</w:t>
      </w:r>
      <w:r>
        <w:rPr>
          <w:rFonts w:ascii="宋体" w:hAnsi="宋体"/>
          <w:sz w:val="24"/>
        </w:rPr>
        <w:t>/</w:t>
      </w:r>
      <w:r>
        <w:rPr>
          <w:rFonts w:ascii="宋体" w:hAnsi="宋体" w:hint="eastAsia"/>
          <w:sz w:val="24"/>
        </w:rPr>
        <w:t>卖出价冻结相应的资金，该参考汇率买入价和卖出价设定上存在比例差异，以抵御该日汇率波动而带来的</w:t>
      </w:r>
      <w:r>
        <w:rPr>
          <w:rFonts w:ascii="宋体" w:hAnsi="宋体" w:hint="eastAsia"/>
          <w:sz w:val="24"/>
        </w:rPr>
        <w:lastRenderedPageBreak/>
        <w:t>结算风险，本基金将因此而遭遇资金被额外占用进而降低基金投资效率的风险。</w:t>
      </w:r>
    </w:p>
    <w:p w14:paraId="3AD1540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4）港股通额度限制</w:t>
      </w:r>
    </w:p>
    <w:p w14:paraId="0B90C9B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现行的港股通规则，对港股通设有每日额度上限的限制；本基金可能因为港股通市场每日额度不足，而不能买入看好之投资标的进而错失投资机会的风险。</w:t>
      </w:r>
    </w:p>
    <w:p w14:paraId="4C98188C" w14:textId="77777777"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w:t>
      </w:r>
      <w:proofErr w:type="gramStart"/>
      <w:r>
        <w:rPr>
          <w:rFonts w:ascii="宋体" w:hAnsi="宋体" w:hint="eastAsia"/>
          <w:sz w:val="24"/>
        </w:rPr>
        <w:t>港股通可投资</w:t>
      </w:r>
      <w:proofErr w:type="gramEnd"/>
      <w:r>
        <w:rPr>
          <w:rFonts w:ascii="宋体" w:hAnsi="宋体" w:hint="eastAsia"/>
          <w:sz w:val="24"/>
        </w:rPr>
        <w:t>标的范围调整带来的风险</w:t>
      </w:r>
    </w:p>
    <w:p w14:paraId="01F2983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现行的港股通规则，对港股通下可投资的港股范围进行了限制，并定期或不定期根据范围限制规则对具体的可投资标的进行调整，对于调出在投资范围的港股，只能卖出不能买入；本基金可能因为</w:t>
      </w:r>
      <w:proofErr w:type="gramStart"/>
      <w:r>
        <w:rPr>
          <w:rFonts w:ascii="宋体" w:hAnsi="宋体" w:hint="eastAsia"/>
          <w:sz w:val="24"/>
        </w:rPr>
        <w:t>港股通可投资</w:t>
      </w:r>
      <w:proofErr w:type="gramEnd"/>
      <w:r>
        <w:rPr>
          <w:rFonts w:ascii="宋体" w:hAnsi="宋体" w:hint="eastAsia"/>
          <w:sz w:val="24"/>
        </w:rPr>
        <w:t>标的范围的调整而不能及时买入看好的投资标的，而错失投资机会的风险。</w:t>
      </w:r>
    </w:p>
    <w:p w14:paraId="52C72CC8" w14:textId="77777777" w:rsidR="008A6127" w:rsidRDefault="00437D9F">
      <w:pPr>
        <w:snapToGrid w:val="0"/>
        <w:spacing w:line="360" w:lineRule="auto"/>
        <w:ind w:firstLineChars="200" w:firstLine="480"/>
        <w:rPr>
          <w:rFonts w:ascii="宋体" w:hAnsi="宋体"/>
          <w:sz w:val="24"/>
        </w:rPr>
      </w:pPr>
      <w:r>
        <w:rPr>
          <w:rFonts w:ascii="宋体" w:hAnsi="宋体"/>
          <w:sz w:val="24"/>
        </w:rPr>
        <w:t>6</w:t>
      </w:r>
      <w:r>
        <w:rPr>
          <w:rFonts w:ascii="宋体" w:hAnsi="宋体" w:hint="eastAsia"/>
          <w:sz w:val="24"/>
        </w:rPr>
        <w:t>）港股</w:t>
      </w:r>
      <w:proofErr w:type="gramStart"/>
      <w:r>
        <w:rPr>
          <w:rFonts w:ascii="宋体" w:hAnsi="宋体" w:hint="eastAsia"/>
          <w:sz w:val="24"/>
        </w:rPr>
        <w:t>通交易</w:t>
      </w:r>
      <w:proofErr w:type="gramEnd"/>
      <w:r>
        <w:rPr>
          <w:rFonts w:ascii="宋体" w:hAnsi="宋体" w:hint="eastAsia"/>
          <w:sz w:val="24"/>
        </w:rPr>
        <w:t>日设定的风险</w:t>
      </w:r>
    </w:p>
    <w:p w14:paraId="3E0DDF9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根据现行的港股通规则，只有内地香港两地均为</w:t>
      </w:r>
      <w:proofErr w:type="gramStart"/>
      <w:r>
        <w:rPr>
          <w:rFonts w:ascii="宋体" w:hAnsi="宋体" w:hint="eastAsia"/>
          <w:sz w:val="24"/>
        </w:rPr>
        <w:t>交易日且能够</w:t>
      </w:r>
      <w:proofErr w:type="gramEnd"/>
      <w:r>
        <w:rPr>
          <w:rFonts w:ascii="宋体" w:hAnsi="宋体" w:hint="eastAsia"/>
          <w:sz w:val="24"/>
        </w:rPr>
        <w:t>满足结算安排的交易日才为港股</w:t>
      </w:r>
      <w:proofErr w:type="gramStart"/>
      <w:r>
        <w:rPr>
          <w:rFonts w:ascii="宋体" w:hAnsi="宋体" w:hint="eastAsia"/>
          <w:sz w:val="24"/>
        </w:rPr>
        <w:t>通交</w:t>
      </w:r>
      <w:proofErr w:type="gramEnd"/>
      <w:r>
        <w:rPr>
          <w:rFonts w:ascii="宋体" w:hAnsi="宋体" w:hint="eastAsia"/>
          <w:sz w:val="24"/>
        </w:rPr>
        <w:t>易日，存在港股</w:t>
      </w:r>
      <w:proofErr w:type="gramStart"/>
      <w:r>
        <w:rPr>
          <w:rFonts w:ascii="宋体" w:hAnsi="宋体" w:hint="eastAsia"/>
          <w:sz w:val="24"/>
        </w:rPr>
        <w:t>通交</w:t>
      </w:r>
      <w:proofErr w:type="gramEnd"/>
      <w:r>
        <w:rPr>
          <w:rFonts w:ascii="宋体" w:hAnsi="宋体" w:hint="eastAsia"/>
          <w:sz w:val="24"/>
        </w:rPr>
        <w:t>易日不连贯的情形（如内地市场因放假等原因休市而香港市场照常交易但港股</w:t>
      </w:r>
      <w:proofErr w:type="gramStart"/>
      <w:r>
        <w:rPr>
          <w:rFonts w:ascii="宋体" w:hAnsi="宋体" w:hint="eastAsia"/>
          <w:sz w:val="24"/>
        </w:rPr>
        <w:t>通不</w:t>
      </w:r>
      <w:proofErr w:type="gramEnd"/>
      <w:r>
        <w:rPr>
          <w:rFonts w:ascii="宋体" w:hAnsi="宋体" w:hint="eastAsia"/>
          <w:sz w:val="24"/>
        </w:rPr>
        <w:t>能如常进行交易），而导致基金所持的港股组合在后续港股</w:t>
      </w:r>
      <w:proofErr w:type="gramStart"/>
      <w:r>
        <w:rPr>
          <w:rFonts w:ascii="宋体" w:hAnsi="宋体" w:hint="eastAsia"/>
          <w:sz w:val="24"/>
        </w:rPr>
        <w:t>通交</w:t>
      </w:r>
      <w:proofErr w:type="gramEnd"/>
      <w:r>
        <w:rPr>
          <w:rFonts w:ascii="宋体" w:hAnsi="宋体" w:hint="eastAsia"/>
          <w:sz w:val="24"/>
        </w:rPr>
        <w:t>易日开市交易中集中体现市场反应而造成其价格波动骤然增大，进而导致本基金所持港股组合在资产估值上出现波动增大的风险。</w:t>
      </w:r>
    </w:p>
    <w:p w14:paraId="35472954" w14:textId="77777777" w:rsidR="008A6127" w:rsidRDefault="00437D9F">
      <w:pPr>
        <w:snapToGrid w:val="0"/>
        <w:spacing w:line="360" w:lineRule="auto"/>
        <w:ind w:firstLineChars="200" w:firstLine="480"/>
        <w:rPr>
          <w:rFonts w:ascii="宋体" w:hAnsi="宋体"/>
          <w:sz w:val="24"/>
        </w:rPr>
      </w:pPr>
      <w:r>
        <w:rPr>
          <w:rFonts w:ascii="宋体" w:hAnsi="宋体"/>
          <w:sz w:val="24"/>
        </w:rPr>
        <w:t>7</w:t>
      </w:r>
      <w:r>
        <w:rPr>
          <w:rFonts w:ascii="宋体" w:hAnsi="宋体" w:hint="eastAsia"/>
          <w:sz w:val="24"/>
        </w:rPr>
        <w:t>）交收制度带来的基金流动性风险</w:t>
      </w:r>
    </w:p>
    <w:p w14:paraId="060938F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由于香港市场实行</w:t>
      </w:r>
      <w:r>
        <w:rPr>
          <w:rFonts w:ascii="宋体" w:hAnsi="宋体"/>
          <w:sz w:val="24"/>
        </w:rPr>
        <w:t>T+2</w:t>
      </w:r>
      <w:r>
        <w:rPr>
          <w:rFonts w:ascii="宋体" w:hAnsi="宋体" w:hint="eastAsia"/>
          <w:sz w:val="24"/>
        </w:rPr>
        <w:t>日（</w:t>
      </w:r>
      <w:r>
        <w:rPr>
          <w:rFonts w:ascii="宋体" w:hAnsi="宋体"/>
          <w:sz w:val="24"/>
        </w:rPr>
        <w:t>T</w:t>
      </w:r>
      <w:r>
        <w:rPr>
          <w:rFonts w:ascii="宋体" w:hAnsi="宋体" w:hint="eastAsia"/>
          <w:sz w:val="24"/>
        </w:rPr>
        <w:t>日买卖股票，资金和股票在</w:t>
      </w:r>
      <w:r>
        <w:rPr>
          <w:rFonts w:ascii="宋体" w:hAnsi="宋体"/>
          <w:sz w:val="24"/>
        </w:rPr>
        <w:t>T+2</w:t>
      </w:r>
      <w:r>
        <w:rPr>
          <w:rFonts w:ascii="宋体" w:hAnsi="宋体" w:hint="eastAsia"/>
          <w:sz w:val="24"/>
        </w:rPr>
        <w:t>日才进行交收）的交收安排，本基金在</w:t>
      </w:r>
      <w:r>
        <w:rPr>
          <w:rFonts w:ascii="宋体" w:hAnsi="宋体"/>
          <w:sz w:val="24"/>
        </w:rPr>
        <w:t>T</w:t>
      </w:r>
      <w:r>
        <w:rPr>
          <w:rFonts w:ascii="宋体" w:hAnsi="宋体" w:hint="eastAsia"/>
          <w:sz w:val="24"/>
        </w:rPr>
        <w:t>日（港股</w:t>
      </w:r>
      <w:proofErr w:type="gramStart"/>
      <w:r>
        <w:rPr>
          <w:rFonts w:ascii="宋体" w:hAnsi="宋体" w:hint="eastAsia"/>
          <w:sz w:val="24"/>
        </w:rPr>
        <w:t>通交易</w:t>
      </w:r>
      <w:proofErr w:type="gramEnd"/>
      <w:r>
        <w:rPr>
          <w:rFonts w:ascii="宋体" w:hAnsi="宋体" w:hint="eastAsia"/>
          <w:sz w:val="24"/>
        </w:rPr>
        <w:t>日）卖出股票，</w:t>
      </w:r>
      <w:r>
        <w:rPr>
          <w:rFonts w:ascii="宋体" w:hAnsi="宋体"/>
          <w:sz w:val="24"/>
        </w:rPr>
        <w:t>T+2</w:t>
      </w:r>
      <w:r>
        <w:rPr>
          <w:rFonts w:ascii="宋体" w:hAnsi="宋体" w:hint="eastAsia"/>
          <w:sz w:val="24"/>
        </w:rPr>
        <w:t>日（港股</w:t>
      </w:r>
      <w:proofErr w:type="gramStart"/>
      <w:r>
        <w:rPr>
          <w:rFonts w:ascii="宋体" w:hAnsi="宋体" w:hint="eastAsia"/>
          <w:sz w:val="24"/>
        </w:rPr>
        <w:t>通交</w:t>
      </w:r>
      <w:proofErr w:type="gramEnd"/>
      <w:r>
        <w:rPr>
          <w:rFonts w:ascii="宋体" w:hAnsi="宋体" w:hint="eastAsia"/>
          <w:sz w:val="24"/>
        </w:rPr>
        <w:t>易日，即为卖出当日之后第二个港股</w:t>
      </w:r>
      <w:proofErr w:type="gramStart"/>
      <w:r>
        <w:rPr>
          <w:rFonts w:ascii="宋体" w:hAnsi="宋体" w:hint="eastAsia"/>
          <w:sz w:val="24"/>
        </w:rPr>
        <w:t>通交</w:t>
      </w:r>
      <w:proofErr w:type="gramEnd"/>
      <w:r>
        <w:rPr>
          <w:rFonts w:ascii="宋体" w:hAnsi="宋体" w:hint="eastAsia"/>
          <w:sz w:val="24"/>
        </w:rPr>
        <w:t>易日）才能在香港市场完成清算交收，卖出的资金在</w:t>
      </w:r>
      <w:r>
        <w:rPr>
          <w:rFonts w:ascii="宋体" w:hAnsi="宋体"/>
          <w:sz w:val="24"/>
        </w:rPr>
        <w:t>T+3</w:t>
      </w:r>
      <w:r>
        <w:rPr>
          <w:rFonts w:ascii="宋体" w:hAnsi="宋体" w:hint="eastAsia"/>
          <w:sz w:val="24"/>
        </w:rPr>
        <w:t>日才能回到人民币资金账户。因此交收制度的不同以及港股</w:t>
      </w:r>
      <w:proofErr w:type="gramStart"/>
      <w:r>
        <w:rPr>
          <w:rFonts w:ascii="宋体" w:hAnsi="宋体" w:hint="eastAsia"/>
          <w:sz w:val="24"/>
        </w:rPr>
        <w:t>通交易</w:t>
      </w:r>
      <w:proofErr w:type="gramEnd"/>
      <w:r>
        <w:rPr>
          <w:rFonts w:ascii="宋体" w:hAnsi="宋体" w:hint="eastAsia"/>
          <w:sz w:val="24"/>
        </w:rPr>
        <w:t>日的设定原因，本基金可能面临卖</w:t>
      </w:r>
      <w:proofErr w:type="gramStart"/>
      <w:r>
        <w:rPr>
          <w:rFonts w:ascii="宋体" w:hAnsi="宋体" w:hint="eastAsia"/>
          <w:sz w:val="24"/>
        </w:rPr>
        <w:t>出港</w:t>
      </w:r>
      <w:proofErr w:type="gramEnd"/>
      <w:r>
        <w:rPr>
          <w:rFonts w:ascii="宋体" w:hAnsi="宋体" w:hint="eastAsia"/>
          <w:sz w:val="24"/>
        </w:rPr>
        <w:t>股后资金不能及时到账，而造成支付</w:t>
      </w:r>
      <w:proofErr w:type="gramStart"/>
      <w:r>
        <w:rPr>
          <w:rFonts w:ascii="宋体" w:hAnsi="宋体" w:hint="eastAsia"/>
          <w:sz w:val="24"/>
        </w:rPr>
        <w:t>赎回</w:t>
      </w:r>
      <w:proofErr w:type="gramEnd"/>
      <w:r>
        <w:rPr>
          <w:rFonts w:ascii="宋体" w:hAnsi="宋体" w:hint="eastAsia"/>
          <w:sz w:val="24"/>
        </w:rPr>
        <w:t>款日期比正常情况延后而给投资者带来流动性风险，同时也存在不能及时调整基金资产组合中</w:t>
      </w:r>
      <w:r>
        <w:rPr>
          <w:rFonts w:ascii="宋体" w:hAnsi="宋体"/>
          <w:sz w:val="24"/>
        </w:rPr>
        <w:t>A</w:t>
      </w:r>
      <w:r>
        <w:rPr>
          <w:rFonts w:ascii="宋体" w:hAnsi="宋体" w:hint="eastAsia"/>
          <w:sz w:val="24"/>
        </w:rPr>
        <w:t>股和港股投资比例，造成比例超标的风险。</w:t>
      </w:r>
    </w:p>
    <w:p w14:paraId="2ADAE6BF" w14:textId="77777777" w:rsidR="008A6127" w:rsidRDefault="00437D9F">
      <w:pPr>
        <w:snapToGrid w:val="0"/>
        <w:spacing w:line="360" w:lineRule="auto"/>
        <w:ind w:firstLineChars="200" w:firstLine="480"/>
        <w:rPr>
          <w:rFonts w:ascii="宋体" w:hAnsi="宋体"/>
          <w:sz w:val="24"/>
        </w:rPr>
      </w:pPr>
      <w:r>
        <w:rPr>
          <w:rFonts w:ascii="宋体" w:hAnsi="宋体"/>
          <w:sz w:val="24"/>
        </w:rPr>
        <w:t>8</w:t>
      </w:r>
      <w:r>
        <w:rPr>
          <w:rFonts w:ascii="宋体" w:hAnsi="宋体" w:hint="eastAsia"/>
          <w:sz w:val="24"/>
        </w:rPr>
        <w:t>）港股通下对公司行为的处理规则带来的风险</w:t>
      </w:r>
    </w:p>
    <w:p w14:paraId="2AD2FBC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根据现行的港股通规则，本基金因所持港股</w:t>
      </w:r>
      <w:proofErr w:type="gramStart"/>
      <w:r>
        <w:rPr>
          <w:rFonts w:ascii="宋体" w:hAnsi="宋体" w:hint="eastAsia"/>
          <w:sz w:val="24"/>
        </w:rPr>
        <w:t>通股票</w:t>
      </w:r>
      <w:proofErr w:type="gramEnd"/>
      <w:r>
        <w:rPr>
          <w:rFonts w:ascii="宋体" w:hAnsi="宋体" w:hint="eastAsia"/>
          <w:sz w:val="24"/>
        </w:rPr>
        <w:t>权益分派、转换、上市公司被收购等情形或者异常情况，所取得的港股通标的股票以外的香港联交所上市证券，只能通过港股通卖出，但不得买入；因港股通标的股票权益分派或者转换等情形取得的香港联交所上市股票的认购权利在香港联交所上市的，可以通过港股通卖出，但不得行权；因港股通标的股票权益分派、转换或者上市公司被收购等所取得的非香港联交所上市证券，可以享有相关权益，但不得通过港股通买入</w:t>
      </w:r>
      <w:r>
        <w:rPr>
          <w:rFonts w:ascii="宋体" w:hAnsi="宋体" w:hint="eastAsia"/>
          <w:sz w:val="24"/>
        </w:rPr>
        <w:lastRenderedPageBreak/>
        <w:t>或卖出。本基金存在因上述规则，利益得不到最大化甚至受损的风险。</w:t>
      </w:r>
    </w:p>
    <w:p w14:paraId="7B114187" w14:textId="77777777" w:rsidR="008A6127" w:rsidRDefault="00437D9F">
      <w:pPr>
        <w:snapToGrid w:val="0"/>
        <w:spacing w:line="360" w:lineRule="auto"/>
        <w:ind w:firstLineChars="200" w:firstLine="480"/>
        <w:rPr>
          <w:rFonts w:ascii="宋体" w:hAnsi="宋体"/>
          <w:sz w:val="24"/>
        </w:rPr>
      </w:pPr>
      <w:r>
        <w:rPr>
          <w:rFonts w:ascii="宋体" w:hAnsi="宋体"/>
          <w:sz w:val="24"/>
        </w:rPr>
        <w:t>9</w:t>
      </w:r>
      <w:r>
        <w:rPr>
          <w:rFonts w:ascii="宋体" w:hAnsi="宋体" w:hint="eastAsia"/>
          <w:sz w:val="24"/>
        </w:rPr>
        <w:t>）香港联合交易所停牌、退市等制度性差异带来的风险</w:t>
      </w:r>
    </w:p>
    <w:p w14:paraId="600BC22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香港联交所规定，在交易所认为所要求的停牌合理而且必要时，上市公司方可采取停牌措施。此外，不同于内地</w:t>
      </w:r>
      <w:r>
        <w:rPr>
          <w:rFonts w:ascii="宋体" w:hAnsi="宋体"/>
          <w:sz w:val="24"/>
        </w:rPr>
        <w:t>A</w:t>
      </w:r>
      <w:r>
        <w:rPr>
          <w:rFonts w:ascii="宋体" w:hAnsi="宋体" w:hint="eastAsia"/>
          <w:sz w:val="24"/>
        </w:rPr>
        <w:t>股市场的停牌制度，香港联交所对停牌的具体时长并没有量化规定，只是确定了</w:t>
      </w:r>
      <w:r>
        <w:rPr>
          <w:rFonts w:ascii="宋体" w:hAnsi="宋体"/>
          <w:sz w:val="24"/>
        </w:rPr>
        <w:t>“</w:t>
      </w:r>
      <w:r>
        <w:rPr>
          <w:rFonts w:ascii="宋体" w:hAnsi="宋体" w:hint="eastAsia"/>
          <w:sz w:val="24"/>
        </w:rPr>
        <w:t>尽量缩短停牌时间</w:t>
      </w:r>
      <w:r>
        <w:rPr>
          <w:rFonts w:ascii="宋体" w:hAnsi="宋体"/>
          <w:sz w:val="24"/>
        </w:rPr>
        <w:t>”</w:t>
      </w:r>
      <w:r>
        <w:rPr>
          <w:rFonts w:ascii="宋体" w:hAnsi="宋体" w:hint="eastAsia"/>
          <w:sz w:val="24"/>
        </w:rPr>
        <w:t>的原则；同时与</w:t>
      </w:r>
      <w:r>
        <w:rPr>
          <w:rFonts w:ascii="宋体" w:hAnsi="宋体"/>
          <w:sz w:val="24"/>
        </w:rPr>
        <w:t>A</w:t>
      </w:r>
      <w:r>
        <w:rPr>
          <w:rFonts w:ascii="宋体" w:hAnsi="宋体" w:hint="eastAsia"/>
          <w:sz w:val="24"/>
        </w:rPr>
        <w:t>股市场对存在退市可能的上市公司根据其财务状况在证券简称前加入相应标记（例如，</w:t>
      </w:r>
      <w:r>
        <w:rPr>
          <w:rFonts w:ascii="宋体" w:hAnsi="宋体"/>
          <w:sz w:val="24"/>
        </w:rPr>
        <w:t>ST</w:t>
      </w:r>
      <w:r>
        <w:rPr>
          <w:rFonts w:ascii="宋体" w:hAnsi="宋体" w:hint="eastAsia"/>
          <w:sz w:val="24"/>
        </w:rPr>
        <w:t>及</w:t>
      </w:r>
      <w:r>
        <w:rPr>
          <w:rFonts w:ascii="宋体" w:hAnsi="宋体"/>
          <w:sz w:val="24"/>
        </w:rPr>
        <w:t>*ST</w:t>
      </w:r>
      <w:r>
        <w:rPr>
          <w:rFonts w:ascii="宋体" w:hAnsi="宋体" w:hint="eastAsia"/>
          <w:sz w:val="24"/>
        </w:rPr>
        <w:t>等标记）以警示投资者风险的做法不同，在香港联交所市场没有风险警示板，香港联交所采用非量化的退市标准且在上市公司退市过程中拥有相对较大的主导权，使得香港联交所上市公司的退市情形较</w:t>
      </w:r>
      <w:r>
        <w:rPr>
          <w:rFonts w:ascii="宋体" w:hAnsi="宋体"/>
          <w:sz w:val="24"/>
        </w:rPr>
        <w:t>A</w:t>
      </w:r>
      <w:r>
        <w:rPr>
          <w:rFonts w:ascii="宋体" w:hAnsi="宋体" w:hint="eastAsia"/>
          <w:sz w:val="24"/>
        </w:rPr>
        <w:t>股市</w:t>
      </w:r>
      <w:proofErr w:type="gramStart"/>
      <w:r>
        <w:rPr>
          <w:rFonts w:ascii="宋体" w:hAnsi="宋体" w:hint="eastAsia"/>
          <w:sz w:val="24"/>
        </w:rPr>
        <w:t>场相对</w:t>
      </w:r>
      <w:proofErr w:type="gramEnd"/>
      <w:r>
        <w:rPr>
          <w:rFonts w:ascii="宋体" w:hAnsi="宋体" w:hint="eastAsia"/>
          <w:sz w:val="24"/>
        </w:rPr>
        <w:t>复杂。</w:t>
      </w:r>
    </w:p>
    <w:p w14:paraId="3E23C0B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因该等制度性差异，本基金可能存在因所持个股遭遇非预期性的停牌甚至退市而给基金带来损失的风险。</w:t>
      </w:r>
    </w:p>
    <w:p w14:paraId="7CA4D397" w14:textId="77777777" w:rsidR="008A6127" w:rsidRDefault="00437D9F">
      <w:pPr>
        <w:snapToGrid w:val="0"/>
        <w:spacing w:line="360" w:lineRule="auto"/>
        <w:ind w:firstLineChars="200" w:firstLine="480"/>
        <w:rPr>
          <w:rFonts w:ascii="宋体" w:hAnsi="宋体"/>
          <w:sz w:val="24"/>
        </w:rPr>
      </w:pPr>
      <w:r>
        <w:rPr>
          <w:rFonts w:ascii="宋体" w:hAnsi="宋体"/>
          <w:sz w:val="24"/>
        </w:rPr>
        <w:t>10</w:t>
      </w:r>
      <w:r>
        <w:rPr>
          <w:rFonts w:ascii="宋体" w:hAnsi="宋体" w:hint="eastAsia"/>
          <w:sz w:val="24"/>
        </w:rPr>
        <w:t>）港股通规则变动带来的风险</w:t>
      </w:r>
    </w:p>
    <w:p w14:paraId="5A56410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本基金是在港股</w:t>
      </w:r>
      <w:proofErr w:type="gramStart"/>
      <w:r>
        <w:rPr>
          <w:rFonts w:ascii="宋体" w:hAnsi="宋体" w:hint="eastAsia"/>
          <w:sz w:val="24"/>
        </w:rPr>
        <w:t>通机制</w:t>
      </w:r>
      <w:proofErr w:type="gramEnd"/>
      <w:r>
        <w:rPr>
          <w:rFonts w:ascii="宋体" w:hAnsi="宋体" w:hint="eastAsia"/>
          <w:sz w:val="24"/>
        </w:rPr>
        <w:t>和规则下参与香港联交所证券的投资，受港股通规则的限制和影响；本基金存在因港股通规则变动而带来基金投资受阻或所持资产组合价值发生波动的风险。</w:t>
      </w:r>
    </w:p>
    <w:p w14:paraId="3A09055A" w14:textId="77777777" w:rsidR="008A6127" w:rsidRDefault="00437D9F">
      <w:pPr>
        <w:snapToGrid w:val="0"/>
        <w:spacing w:line="360" w:lineRule="auto"/>
        <w:ind w:firstLineChars="200" w:firstLine="480"/>
        <w:rPr>
          <w:rFonts w:ascii="宋体" w:hAnsi="宋体"/>
          <w:sz w:val="24"/>
        </w:rPr>
      </w:pPr>
      <w:r>
        <w:rPr>
          <w:rFonts w:ascii="宋体" w:hAnsi="宋体"/>
          <w:sz w:val="24"/>
        </w:rPr>
        <w:t>11</w:t>
      </w:r>
      <w:r>
        <w:rPr>
          <w:rFonts w:ascii="宋体" w:hAnsi="宋体" w:hint="eastAsia"/>
          <w:sz w:val="24"/>
        </w:rPr>
        <w:t>）其他可能的风险</w:t>
      </w:r>
    </w:p>
    <w:p w14:paraId="071F31C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除上述显著风险外，本基金参与港股通投资，还可能面临的其他风险，包括但不限于：</w:t>
      </w:r>
    </w:p>
    <w:p w14:paraId="52C652B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①除因股票交易而发生的佣金、交易征费、交易费、交易系统费、印花税、过户费等税费外，在不进行交易时也可能要继续缴纳证券组合费等项费用，本基金存在因费用估算不准确而导致账户透支的风险；</w:t>
      </w:r>
    </w:p>
    <w:p w14:paraId="1D60677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②在香港市场，部分中小市值港股成交量则相对较少，流动较为缺乏，本基金投资此类股票可能因缺乏交易对手而面临个股流动性风险；</w:t>
      </w:r>
    </w:p>
    <w:p w14:paraId="166DF50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③在本基金参与港股</w:t>
      </w:r>
      <w:proofErr w:type="gramStart"/>
      <w:r>
        <w:rPr>
          <w:rFonts w:ascii="宋体" w:hAnsi="宋体" w:hint="eastAsia"/>
          <w:sz w:val="24"/>
        </w:rPr>
        <w:t>通交易</w:t>
      </w:r>
      <w:proofErr w:type="gramEnd"/>
      <w:r>
        <w:rPr>
          <w:rFonts w:ascii="宋体" w:hAnsi="宋体" w:hint="eastAsia"/>
          <w:sz w:val="24"/>
        </w:rPr>
        <w:t>中若香港联交所与内地交易所的证券交易服务公司之间的报盘系统或者通信链路出现故障，可能导致</w:t>
      </w:r>
      <w:r>
        <w:rPr>
          <w:rFonts w:ascii="宋体" w:hAnsi="宋体"/>
          <w:sz w:val="24"/>
        </w:rPr>
        <w:t>15</w:t>
      </w:r>
      <w:r>
        <w:rPr>
          <w:rFonts w:ascii="宋体" w:hAnsi="宋体" w:hint="eastAsia"/>
          <w:sz w:val="24"/>
        </w:rPr>
        <w:t>分钟以上不能申报和撤销申报的交易中断风险；</w:t>
      </w:r>
    </w:p>
    <w:p w14:paraId="135EF61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④存在港股通香港结算机构因极端情况下无法交付证券和资金的结算风险；另</w:t>
      </w:r>
      <w:proofErr w:type="gramStart"/>
      <w:r>
        <w:rPr>
          <w:rFonts w:ascii="宋体" w:hAnsi="宋体" w:hint="eastAsia"/>
          <w:sz w:val="24"/>
        </w:rPr>
        <w:t>外港股通</w:t>
      </w:r>
      <w:proofErr w:type="gramEnd"/>
      <w:r>
        <w:rPr>
          <w:rFonts w:ascii="宋体" w:hAnsi="宋体" w:hint="eastAsia"/>
          <w:sz w:val="24"/>
        </w:rPr>
        <w:t>境内结算实施分级结算原则，本基金可能面临以下风险：因结算参与人未完成与中国结算的集中交收，导致本基金应收资金或证券被暂不交付或处置；结算参与人对本基金出现交收违约导致本基金未能取得应收证券或资金；结算参</w:t>
      </w:r>
      <w:r>
        <w:rPr>
          <w:rFonts w:ascii="宋体" w:hAnsi="宋体" w:hint="eastAsia"/>
          <w:sz w:val="24"/>
        </w:rPr>
        <w:lastRenderedPageBreak/>
        <w:t>与人向中国结算发送的有关本基金的证券划付指令有误的导致本基金权益受损；其他因结算参与人未遵守相关业务规则导致本基金利益受到损害的情况。</w:t>
      </w:r>
    </w:p>
    <w:p w14:paraId="3D13F905"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（九）</w:t>
      </w:r>
      <w:bookmarkStart w:id="390" w:name="_Hlk22541741"/>
      <w:r>
        <w:rPr>
          <w:rFonts w:hAnsi="宋体" w:hint="eastAsia"/>
          <w:b/>
          <w:sz w:val="24"/>
          <w:szCs w:val="24"/>
        </w:rPr>
        <w:t>投资</w:t>
      </w:r>
      <w:proofErr w:type="gramStart"/>
      <w:r>
        <w:rPr>
          <w:rFonts w:hAnsi="宋体" w:hint="eastAsia"/>
          <w:b/>
          <w:sz w:val="24"/>
          <w:szCs w:val="24"/>
        </w:rPr>
        <w:t>科创板股票</w:t>
      </w:r>
      <w:proofErr w:type="gramEnd"/>
      <w:r>
        <w:rPr>
          <w:rFonts w:hAnsi="宋体" w:hint="eastAsia"/>
          <w:b/>
          <w:sz w:val="24"/>
          <w:szCs w:val="24"/>
        </w:rPr>
        <w:t>的特定风险</w:t>
      </w:r>
      <w:bookmarkEnd w:id="390"/>
    </w:p>
    <w:p w14:paraId="424509C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基金投资于</w:t>
      </w:r>
      <w:proofErr w:type="gramStart"/>
      <w:r>
        <w:rPr>
          <w:rFonts w:ascii="宋体" w:hAnsi="宋体" w:hint="eastAsia"/>
          <w:sz w:val="24"/>
        </w:rPr>
        <w:t>科创板</w:t>
      </w:r>
      <w:proofErr w:type="gramEnd"/>
      <w:r>
        <w:rPr>
          <w:rFonts w:ascii="宋体" w:hAnsi="宋体" w:hint="eastAsia"/>
          <w:sz w:val="24"/>
        </w:rPr>
        <w:t>股票，将面临流动性风险、股价波动风险、退市风险、投资集中度风险。</w:t>
      </w:r>
    </w:p>
    <w:p w14:paraId="6D953D1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首先，流动性风险方面，</w:t>
      </w:r>
      <w:proofErr w:type="gramStart"/>
      <w:r>
        <w:rPr>
          <w:rFonts w:ascii="宋体" w:hAnsi="宋体" w:hint="eastAsia"/>
          <w:sz w:val="24"/>
        </w:rPr>
        <w:t>科创板</w:t>
      </w:r>
      <w:proofErr w:type="gramEnd"/>
      <w:r>
        <w:rPr>
          <w:rFonts w:ascii="宋体" w:hAnsi="宋体" w:hint="eastAsia"/>
          <w:sz w:val="24"/>
        </w:rPr>
        <w:t>的投资者门槛较高，且流动性弱于A股其他板块，投资者在特定的阶段对</w:t>
      </w:r>
      <w:proofErr w:type="gramStart"/>
      <w:r>
        <w:rPr>
          <w:rFonts w:ascii="宋体" w:hAnsi="宋体" w:hint="eastAsia"/>
          <w:sz w:val="24"/>
        </w:rPr>
        <w:t>科创</w:t>
      </w:r>
      <w:proofErr w:type="gramEnd"/>
      <w:r>
        <w:rPr>
          <w:rFonts w:ascii="宋体" w:hAnsi="宋体" w:hint="eastAsia"/>
          <w:sz w:val="24"/>
        </w:rPr>
        <w:t>板的个股可能形成一致性预期，出现股票无法及时成交的情形；</w:t>
      </w:r>
    </w:p>
    <w:p w14:paraId="115633E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其次，股价波动风险方面，</w:t>
      </w:r>
      <w:proofErr w:type="gramStart"/>
      <w:r>
        <w:rPr>
          <w:rFonts w:ascii="宋体" w:hAnsi="宋体" w:hint="eastAsia"/>
          <w:sz w:val="24"/>
        </w:rPr>
        <w:t>科创板股票</w:t>
      </w:r>
      <w:proofErr w:type="gramEnd"/>
      <w:r>
        <w:rPr>
          <w:rFonts w:ascii="宋体" w:hAnsi="宋体" w:hint="eastAsia"/>
          <w:sz w:val="24"/>
        </w:rPr>
        <w:t>竞价交易设置较宽的涨跌幅限制，首次公开发行上市的股票，上市后的前5个交易日不设涨跌幅限制，其后涨跌幅限制为20%，可能产生股价大幅波动的风险；</w:t>
      </w:r>
      <w:proofErr w:type="gramStart"/>
      <w:r>
        <w:rPr>
          <w:rFonts w:ascii="宋体" w:hAnsi="宋体" w:hint="eastAsia"/>
          <w:sz w:val="24"/>
        </w:rPr>
        <w:t>且科创板企业</w:t>
      </w:r>
      <w:proofErr w:type="gramEnd"/>
      <w:r>
        <w:rPr>
          <w:rFonts w:ascii="宋体" w:hAnsi="宋体" w:hint="eastAsia"/>
          <w:sz w:val="24"/>
        </w:rPr>
        <w:t>普遍具有技术新、前景不确定、业绩波动大、风险高等特征，市场可比公司较少，传统估值方法可能不适用，发行定价难度较大，</w:t>
      </w:r>
      <w:proofErr w:type="gramStart"/>
      <w:r>
        <w:rPr>
          <w:rFonts w:ascii="宋体" w:hAnsi="宋体" w:hint="eastAsia"/>
          <w:sz w:val="24"/>
        </w:rPr>
        <w:t>科创板股</w:t>
      </w:r>
      <w:proofErr w:type="gramEnd"/>
      <w:r>
        <w:rPr>
          <w:rFonts w:ascii="宋体" w:hAnsi="宋体" w:hint="eastAsia"/>
          <w:sz w:val="24"/>
        </w:rPr>
        <w:t xml:space="preserve">票上市后可能存在股价波动的风险。 </w:t>
      </w:r>
    </w:p>
    <w:p w14:paraId="331167B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再次，退</w:t>
      </w:r>
      <w:proofErr w:type="gramStart"/>
      <w:r>
        <w:rPr>
          <w:rFonts w:ascii="宋体" w:hAnsi="宋体" w:hint="eastAsia"/>
          <w:sz w:val="24"/>
        </w:rPr>
        <w:t>市风险</w:t>
      </w:r>
      <w:proofErr w:type="gramEnd"/>
      <w:r>
        <w:rPr>
          <w:rFonts w:ascii="宋体" w:hAnsi="宋体" w:hint="eastAsia"/>
          <w:sz w:val="24"/>
        </w:rPr>
        <w:t>方面，</w:t>
      </w:r>
      <w:proofErr w:type="gramStart"/>
      <w:r>
        <w:rPr>
          <w:rFonts w:ascii="宋体" w:hAnsi="宋体" w:hint="eastAsia"/>
          <w:sz w:val="24"/>
        </w:rPr>
        <w:t>科创</w:t>
      </w:r>
      <w:proofErr w:type="gramEnd"/>
      <w:r>
        <w:rPr>
          <w:rFonts w:ascii="宋体" w:hAnsi="宋体" w:hint="eastAsia"/>
          <w:sz w:val="24"/>
        </w:rPr>
        <w:t>板的退市标准比A股其他板块更为严格，违反相关规定的</w:t>
      </w:r>
      <w:proofErr w:type="gramStart"/>
      <w:r>
        <w:rPr>
          <w:rFonts w:ascii="宋体" w:hAnsi="宋体" w:hint="eastAsia"/>
          <w:sz w:val="24"/>
        </w:rPr>
        <w:t>科创</w:t>
      </w:r>
      <w:proofErr w:type="gramEnd"/>
      <w:r>
        <w:rPr>
          <w:rFonts w:ascii="宋体" w:hAnsi="宋体" w:hint="eastAsia"/>
          <w:sz w:val="24"/>
        </w:rPr>
        <w:t>板上市公司将直接退市，没有暂停上市和恢复上市两方面程序，其面临退</w:t>
      </w:r>
      <w:proofErr w:type="gramStart"/>
      <w:r>
        <w:rPr>
          <w:rFonts w:ascii="宋体" w:hAnsi="宋体" w:hint="eastAsia"/>
          <w:sz w:val="24"/>
        </w:rPr>
        <w:t>市风</w:t>
      </w:r>
      <w:proofErr w:type="gramEnd"/>
      <w:r>
        <w:rPr>
          <w:rFonts w:ascii="宋体" w:hAnsi="宋体" w:hint="eastAsia"/>
          <w:sz w:val="24"/>
        </w:rPr>
        <w:t>险更大，会给基金资产净值带来不利影响；</w:t>
      </w:r>
    </w:p>
    <w:p w14:paraId="3DC42ED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最后，投资集中度风险方面，</w:t>
      </w:r>
      <w:proofErr w:type="gramStart"/>
      <w:r>
        <w:rPr>
          <w:rFonts w:ascii="宋体" w:hAnsi="宋体" w:hint="eastAsia"/>
          <w:sz w:val="24"/>
        </w:rPr>
        <w:t>科创板</w:t>
      </w:r>
      <w:proofErr w:type="gramEnd"/>
      <w:r>
        <w:rPr>
          <w:rFonts w:ascii="宋体" w:hAnsi="宋体" w:hint="eastAsia"/>
          <w:sz w:val="24"/>
        </w:rPr>
        <w:t>的上市公司均为科技创新成长型，其商业模式、盈利风险、业绩波动等特征较为相似，基金难以通过分散投资降低投资风险，若股票价格波动将引起基金净值波动。</w:t>
      </w:r>
    </w:p>
    <w:p w14:paraId="2A46E99E" w14:textId="77777777" w:rsidR="008A6127" w:rsidRDefault="00437D9F">
      <w:pPr>
        <w:pStyle w:val="33"/>
        <w:snapToGrid w:val="0"/>
        <w:spacing w:line="360" w:lineRule="auto"/>
        <w:ind w:firstLineChars="200" w:firstLine="482"/>
        <w:rPr>
          <w:rFonts w:hAnsi="宋体"/>
          <w:sz w:val="24"/>
          <w:szCs w:val="24"/>
        </w:rPr>
      </w:pPr>
      <w:r>
        <w:rPr>
          <w:rFonts w:hAnsi="宋体" w:hint="eastAsia"/>
          <w:b/>
          <w:sz w:val="24"/>
          <w:szCs w:val="24"/>
        </w:rPr>
        <w:t>（十）</w:t>
      </w:r>
      <w:bookmarkStart w:id="391" w:name="_Hlk1057243"/>
      <w:r>
        <w:rPr>
          <w:rFonts w:hAnsi="宋体" w:hint="eastAsia"/>
          <w:b/>
          <w:sz w:val="24"/>
          <w:szCs w:val="24"/>
        </w:rPr>
        <w:t>投资流通受限证券的特定风险</w:t>
      </w:r>
      <w:bookmarkEnd w:id="391"/>
    </w:p>
    <w:p w14:paraId="7D7D2C9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基金投资流动受限证券将面临证券市场流动性风险，主要表现在几个方面：基金建仓困难，或建仓成本很高；基金资产不能迅速转变成现金，或变现成本很高；</w:t>
      </w:r>
    </w:p>
    <w:p w14:paraId="4625512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不能应付可能出现的投资者大额赎回的风险；证券投资中个</w:t>
      </w:r>
      <w:proofErr w:type="gramStart"/>
      <w:r>
        <w:rPr>
          <w:rFonts w:ascii="宋体" w:hAnsi="宋体" w:hint="eastAsia"/>
          <w:sz w:val="24"/>
        </w:rPr>
        <w:t>券</w:t>
      </w:r>
      <w:proofErr w:type="gramEnd"/>
      <w:r>
        <w:rPr>
          <w:rFonts w:ascii="宋体" w:hAnsi="宋体" w:hint="eastAsia"/>
          <w:sz w:val="24"/>
        </w:rPr>
        <w:t>和个股的流动性风险等。</w:t>
      </w:r>
    </w:p>
    <w:p w14:paraId="20A8634D" w14:textId="043D85F9" w:rsidR="008A6127" w:rsidRDefault="00437D9F">
      <w:pPr>
        <w:spacing w:line="360" w:lineRule="auto"/>
        <w:ind w:firstLineChars="200" w:firstLine="482"/>
        <w:rPr>
          <w:rFonts w:ascii="宋体" w:hAnsi="宋体"/>
          <w:sz w:val="24"/>
        </w:rPr>
      </w:pPr>
      <w:r>
        <w:rPr>
          <w:rFonts w:hAnsi="宋体" w:hint="eastAsia"/>
          <w:b/>
          <w:sz w:val="24"/>
        </w:rPr>
        <w:t>（十一）</w:t>
      </w:r>
      <w:r>
        <w:rPr>
          <w:rFonts w:ascii="宋体" w:hAnsi="宋体" w:hint="eastAsia"/>
          <w:b/>
          <w:sz w:val="24"/>
        </w:rPr>
        <w:t>投资存托凭证的风险</w:t>
      </w:r>
    </w:p>
    <w:p w14:paraId="76F631AC" w14:textId="77777777" w:rsidR="008A6127" w:rsidRDefault="00437D9F">
      <w:pPr>
        <w:spacing w:line="360" w:lineRule="auto"/>
        <w:ind w:firstLineChars="200" w:firstLine="480"/>
        <w:rPr>
          <w:rFonts w:ascii="宋体" w:hAnsi="宋体"/>
          <w:sz w:val="24"/>
        </w:rPr>
      </w:pPr>
      <w:r>
        <w:rPr>
          <w:rFonts w:ascii="宋体" w:hAnsi="宋体" w:hint="eastAsia"/>
          <w:sz w:val="24"/>
        </w:rPr>
        <w:t>本基金的投资范围包括存托凭证，除与其他仅投资于沪深市场股票的基金所面临的共同风险外，本基金还将面临中国存托凭证价格大幅波动甚至出现较大亏损的风险，以及与中国存托凭证发行机制相关的风险，包括存托凭证持有人与境外基础证券发行人的股东在法律地位、享有权利等方面存在差异可能引发的风险；</w:t>
      </w:r>
      <w:r>
        <w:rPr>
          <w:rFonts w:ascii="宋体" w:hAnsi="宋体" w:hint="eastAsia"/>
          <w:sz w:val="24"/>
        </w:rPr>
        <w:lastRenderedPageBreak/>
        <w:t>存托凭证持有人在分红派息、行使表决权等方面的特殊安排可能引发的风险；存</w:t>
      </w:r>
      <w:proofErr w:type="gramStart"/>
      <w:r>
        <w:rPr>
          <w:rFonts w:ascii="宋体" w:hAnsi="宋体" w:hint="eastAsia"/>
          <w:sz w:val="24"/>
        </w:rPr>
        <w:t>托协议</w:t>
      </w:r>
      <w:proofErr w:type="gramEnd"/>
      <w:r>
        <w:rPr>
          <w:rFonts w:ascii="宋体" w:hAnsi="宋体" w:hint="eastAsia"/>
          <w:sz w:val="24"/>
        </w:rPr>
        <w:t>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证券交易机制、法律制度、监管环境差异可能导致的其他风险。</w:t>
      </w:r>
    </w:p>
    <w:p w14:paraId="5DDC963C" w14:textId="47494D4A" w:rsidR="008A6127" w:rsidRDefault="00437D9F">
      <w:pPr>
        <w:spacing w:line="360" w:lineRule="auto"/>
        <w:ind w:firstLineChars="200" w:firstLine="482"/>
        <w:rPr>
          <w:rFonts w:ascii="宋体" w:hAnsi="宋体"/>
          <w:sz w:val="24"/>
        </w:rPr>
      </w:pPr>
      <w:r>
        <w:rPr>
          <w:rFonts w:hAnsi="宋体" w:hint="eastAsia"/>
          <w:b/>
          <w:sz w:val="24"/>
        </w:rPr>
        <w:t>（十二）</w:t>
      </w:r>
      <w:r>
        <w:rPr>
          <w:rFonts w:ascii="宋体" w:hAnsi="宋体" w:hint="eastAsia"/>
          <w:b/>
          <w:sz w:val="24"/>
        </w:rPr>
        <w:t>投资北交所股票的特定风险</w:t>
      </w:r>
    </w:p>
    <w:p w14:paraId="727C5449" w14:textId="77777777" w:rsidR="008A6127" w:rsidRDefault="00437D9F">
      <w:pPr>
        <w:pStyle w:val="Default"/>
        <w:spacing w:line="360" w:lineRule="auto"/>
        <w:ind w:firstLineChars="200" w:firstLine="480"/>
        <w:rPr>
          <w:rFonts w:hAnsi="宋体"/>
          <w:color w:val="auto"/>
          <w:kern w:val="2"/>
        </w:rPr>
      </w:pPr>
      <w:r>
        <w:rPr>
          <w:rFonts w:hAnsi="宋体" w:hint="eastAsia"/>
          <w:color w:val="auto"/>
          <w:kern w:val="2"/>
        </w:rPr>
        <w:t>北交所上市企业为创新型中小企业，普遍具有初创性、技术新、研发投入大、前景不确定、业绩波动大、风险高等特征。基金投资北交所股票面临各种风险，包括但不限于</w:t>
      </w:r>
      <w:r>
        <w:rPr>
          <w:rFonts w:hAnsi="宋体"/>
          <w:color w:val="auto"/>
          <w:kern w:val="2"/>
        </w:rPr>
        <w:t>：</w:t>
      </w:r>
    </w:p>
    <w:p w14:paraId="26BA6237" w14:textId="77777777" w:rsidR="008A6127" w:rsidRDefault="00437D9F">
      <w:pPr>
        <w:pStyle w:val="Default"/>
        <w:numPr>
          <w:ilvl w:val="0"/>
          <w:numId w:val="26"/>
        </w:numPr>
        <w:spacing w:line="360" w:lineRule="auto"/>
        <w:ind w:firstLineChars="200" w:firstLine="480"/>
        <w:rPr>
          <w:rFonts w:hAnsi="宋体"/>
          <w:color w:val="auto"/>
          <w:kern w:val="2"/>
        </w:rPr>
      </w:pPr>
      <w:r>
        <w:rPr>
          <w:rFonts w:hAnsi="宋体" w:hint="eastAsia"/>
          <w:color w:val="auto"/>
          <w:kern w:val="2"/>
        </w:rPr>
        <w:t>流动性风险</w:t>
      </w:r>
      <w:r>
        <w:rPr>
          <w:rFonts w:hAnsi="宋体"/>
          <w:color w:val="auto"/>
          <w:kern w:val="2"/>
        </w:rPr>
        <w:t>：</w:t>
      </w:r>
      <w:r>
        <w:rPr>
          <w:rFonts w:hAnsi="宋体" w:hint="eastAsia"/>
          <w:color w:val="auto"/>
          <w:kern w:val="2"/>
        </w:rPr>
        <w:t>北交所的投资者门槛较高，且流动性弱于A股其他板块，投资者在特定的阶段对北交所的个股可能形成一致性预期，出现股票无法及时成交的情形。</w:t>
      </w:r>
    </w:p>
    <w:p w14:paraId="5756AED2" w14:textId="77777777" w:rsidR="008A6127" w:rsidRDefault="00437D9F">
      <w:pPr>
        <w:pStyle w:val="Default"/>
        <w:numPr>
          <w:ilvl w:val="0"/>
          <w:numId w:val="26"/>
        </w:numPr>
        <w:spacing w:line="360" w:lineRule="auto"/>
        <w:ind w:firstLineChars="200" w:firstLine="480"/>
        <w:rPr>
          <w:rFonts w:hAnsi="宋体"/>
          <w:color w:val="auto"/>
          <w:kern w:val="2"/>
        </w:rPr>
      </w:pPr>
      <w:proofErr w:type="gramStart"/>
      <w:r>
        <w:rPr>
          <w:rFonts w:hAnsi="宋体" w:hint="eastAsia"/>
          <w:color w:val="auto"/>
          <w:kern w:val="2"/>
        </w:rPr>
        <w:t>转板风险</w:t>
      </w:r>
      <w:proofErr w:type="gramEnd"/>
      <w:r>
        <w:rPr>
          <w:rFonts w:hAnsi="宋体"/>
          <w:color w:val="auto"/>
          <w:kern w:val="2"/>
        </w:rPr>
        <w:t>：</w:t>
      </w:r>
      <w:r>
        <w:rPr>
          <w:rFonts w:hAnsi="宋体" w:hint="eastAsia"/>
          <w:color w:val="auto"/>
          <w:kern w:val="2"/>
        </w:rPr>
        <w:t>基金投资北交所上市的公司在满足证券法和证监会规定的基本上市条件和符合交易所规定的具体上市条件后可</w:t>
      </w:r>
      <w:proofErr w:type="gramStart"/>
      <w:r>
        <w:rPr>
          <w:rFonts w:hAnsi="宋体" w:hint="eastAsia"/>
          <w:color w:val="auto"/>
          <w:kern w:val="2"/>
        </w:rPr>
        <w:t>申请转板上市</w:t>
      </w:r>
      <w:proofErr w:type="gramEnd"/>
      <w:r>
        <w:rPr>
          <w:rFonts w:hAnsi="宋体" w:hint="eastAsia"/>
          <w:color w:val="auto"/>
          <w:kern w:val="2"/>
        </w:rPr>
        <w:t>。交易所需审核并做出是否同意上市的决定。无论上市公司</w:t>
      </w:r>
      <w:proofErr w:type="gramStart"/>
      <w:r>
        <w:rPr>
          <w:rFonts w:hAnsi="宋体" w:hint="eastAsia"/>
          <w:color w:val="auto"/>
          <w:kern w:val="2"/>
        </w:rPr>
        <w:t>是否转板成功</w:t>
      </w:r>
      <w:proofErr w:type="gramEnd"/>
      <w:r>
        <w:rPr>
          <w:rFonts w:hAnsi="宋体" w:hint="eastAsia"/>
          <w:color w:val="auto"/>
          <w:kern w:val="2"/>
        </w:rPr>
        <w:t>，均可能引起基金净值波动。</w:t>
      </w:r>
    </w:p>
    <w:p w14:paraId="337D9C23" w14:textId="77777777" w:rsidR="008A6127" w:rsidRDefault="00437D9F">
      <w:pPr>
        <w:pStyle w:val="Default"/>
        <w:numPr>
          <w:ilvl w:val="0"/>
          <w:numId w:val="26"/>
        </w:numPr>
        <w:spacing w:line="360" w:lineRule="auto"/>
        <w:ind w:firstLine="480"/>
        <w:rPr>
          <w:rFonts w:hAnsi="宋体"/>
          <w:color w:val="auto"/>
          <w:kern w:val="2"/>
        </w:rPr>
      </w:pPr>
      <w:r>
        <w:rPr>
          <w:rFonts w:hAnsi="宋体" w:hint="eastAsia"/>
          <w:color w:val="auto"/>
          <w:kern w:val="2"/>
        </w:rPr>
        <w:t>中小企业经营风险</w:t>
      </w:r>
      <w:r>
        <w:rPr>
          <w:rFonts w:hAnsi="宋体"/>
          <w:color w:val="auto"/>
          <w:kern w:val="2"/>
        </w:rPr>
        <w:t>：</w:t>
      </w:r>
      <w:r>
        <w:rPr>
          <w:rFonts w:hAnsi="宋体" w:hint="eastAsia"/>
          <w:color w:val="auto"/>
          <w:kern w:val="2"/>
        </w:rPr>
        <w:t>北交所主要服务创新型中小企业，该类企业往往具有规模小、对技术依赖高、迭代快、议价能力不强等特点，抗市场风险和行业风险能力较弱；部分中小企业可能尚处于初步发展阶段，业务收入、现金流及盈利水平等具有较大不确定性，或面临较大波动，个股投资风险加大。</w:t>
      </w:r>
    </w:p>
    <w:p w14:paraId="74DBA921" w14:textId="77777777" w:rsidR="008A6127" w:rsidRDefault="00437D9F">
      <w:pPr>
        <w:pStyle w:val="Default"/>
        <w:numPr>
          <w:ilvl w:val="0"/>
          <w:numId w:val="26"/>
        </w:numPr>
        <w:spacing w:line="360" w:lineRule="auto"/>
        <w:ind w:firstLineChars="200" w:firstLine="480"/>
        <w:rPr>
          <w:rFonts w:hAnsi="宋体"/>
          <w:color w:val="auto"/>
          <w:kern w:val="2"/>
        </w:rPr>
      </w:pPr>
      <w:r>
        <w:rPr>
          <w:rFonts w:hAnsi="宋体"/>
          <w:color w:val="auto"/>
          <w:kern w:val="2"/>
        </w:rPr>
        <w:t>投资战略配售股票风险：战略配售股票在发行时明确了一定期限的锁定期，该类证券在锁定期内的流动性较差，存在市场或</w:t>
      </w:r>
      <w:proofErr w:type="gramStart"/>
      <w:r>
        <w:rPr>
          <w:rFonts w:hAnsi="宋体"/>
          <w:color w:val="auto"/>
          <w:kern w:val="2"/>
        </w:rPr>
        <w:t>个</w:t>
      </w:r>
      <w:proofErr w:type="gramEnd"/>
      <w:r>
        <w:rPr>
          <w:rFonts w:hAnsi="宋体"/>
          <w:color w:val="auto"/>
          <w:kern w:val="2"/>
        </w:rPr>
        <w:t>券出现大幅调整时无法及时卖出的风险。</w:t>
      </w:r>
    </w:p>
    <w:p w14:paraId="29F43C98" w14:textId="77777777" w:rsidR="008A6127" w:rsidRDefault="00437D9F">
      <w:pPr>
        <w:pStyle w:val="Default"/>
        <w:numPr>
          <w:ilvl w:val="0"/>
          <w:numId w:val="26"/>
        </w:numPr>
        <w:spacing w:line="360" w:lineRule="auto"/>
        <w:ind w:firstLineChars="200" w:firstLine="480"/>
        <w:rPr>
          <w:rFonts w:hAnsi="宋体"/>
          <w:color w:val="auto"/>
          <w:kern w:val="2"/>
        </w:rPr>
      </w:pPr>
      <w:r>
        <w:rPr>
          <w:rFonts w:hAnsi="宋体" w:hint="eastAsia"/>
          <w:color w:val="auto"/>
          <w:kern w:val="2"/>
        </w:rPr>
        <w:t>股价波动风险</w:t>
      </w:r>
      <w:r>
        <w:rPr>
          <w:rFonts w:hAnsi="宋体"/>
          <w:color w:val="auto"/>
          <w:kern w:val="2"/>
        </w:rPr>
        <w:t>：</w:t>
      </w:r>
      <w:r>
        <w:rPr>
          <w:rFonts w:hAnsi="宋体" w:hint="eastAsia"/>
          <w:color w:val="auto"/>
          <w:kern w:val="2"/>
        </w:rPr>
        <w:t>北交所股票竞价交易设置较宽的涨跌幅限制，首次公开发行上市的股票上市交易首日不设涨跌幅限制，其后涨跌幅限制为</w:t>
      </w:r>
      <w:r>
        <w:rPr>
          <w:rFonts w:hAnsi="宋体"/>
          <w:color w:val="auto"/>
          <w:kern w:val="2"/>
        </w:rPr>
        <w:t>3</w:t>
      </w:r>
      <w:r>
        <w:rPr>
          <w:rFonts w:hAnsi="宋体" w:hint="eastAsia"/>
          <w:color w:val="auto"/>
          <w:kern w:val="2"/>
        </w:rPr>
        <w:t>0%，可能产生股价大幅波动的风险；</w:t>
      </w:r>
      <w:proofErr w:type="gramStart"/>
      <w:r>
        <w:rPr>
          <w:rFonts w:hAnsi="宋体" w:hint="eastAsia"/>
          <w:color w:val="auto"/>
          <w:kern w:val="2"/>
        </w:rPr>
        <w:t>且北交所企业</w:t>
      </w:r>
      <w:proofErr w:type="gramEnd"/>
      <w:r>
        <w:rPr>
          <w:rFonts w:hAnsi="宋体" w:hint="eastAsia"/>
          <w:color w:val="auto"/>
          <w:kern w:val="2"/>
        </w:rPr>
        <w:t>普遍具有技术新、前景不确定、业绩波动大、风险高等特征，市场可比公司较少，传统估值方法可能不适用，发行定价难度较大，北交所股票上市后可能存在股价波动的风险。</w:t>
      </w:r>
    </w:p>
    <w:p w14:paraId="19C55263" w14:textId="77777777" w:rsidR="008A6127" w:rsidRDefault="00437D9F">
      <w:pPr>
        <w:pStyle w:val="Default"/>
        <w:numPr>
          <w:ilvl w:val="0"/>
          <w:numId w:val="26"/>
        </w:numPr>
        <w:spacing w:line="360" w:lineRule="auto"/>
        <w:ind w:firstLineChars="200" w:firstLine="480"/>
        <w:rPr>
          <w:rFonts w:hAnsi="宋体"/>
          <w:color w:val="auto"/>
          <w:kern w:val="2"/>
        </w:rPr>
      </w:pPr>
      <w:r>
        <w:rPr>
          <w:rFonts w:hAnsi="宋体" w:hint="eastAsia"/>
          <w:color w:val="auto"/>
          <w:kern w:val="2"/>
        </w:rPr>
        <w:t>退市风险</w:t>
      </w:r>
      <w:r>
        <w:rPr>
          <w:rFonts w:hAnsi="宋体"/>
          <w:color w:val="auto"/>
          <w:kern w:val="2"/>
        </w:rPr>
        <w:t>：根据北交所退市制度，上市企业退市情形较多，一旦所投资</w:t>
      </w:r>
      <w:r>
        <w:rPr>
          <w:rFonts w:hAnsi="宋体"/>
          <w:color w:val="auto"/>
          <w:kern w:val="2"/>
        </w:rPr>
        <w:lastRenderedPageBreak/>
        <w:t>的北交所上市企业进入退市流程，有可能退入新三板创新层或基础层挂牌交易，或转入退市公司板块，可能无法及时将该企业调出投资组合，从</w:t>
      </w:r>
      <w:r>
        <w:rPr>
          <w:rFonts w:hAnsi="宋体" w:hint="eastAsia"/>
          <w:color w:val="auto"/>
          <w:kern w:val="2"/>
        </w:rPr>
        <w:t>而</w:t>
      </w:r>
      <w:r>
        <w:rPr>
          <w:rFonts w:hAnsi="宋体"/>
          <w:color w:val="auto"/>
          <w:kern w:val="2"/>
        </w:rPr>
        <w:t>面临退出难度较大、流动性变差、变现成本较高以及股价大幅波动的风险，可能对基金净值造成不利影响</w:t>
      </w:r>
      <w:r>
        <w:rPr>
          <w:rFonts w:hAnsi="宋体" w:hint="eastAsia"/>
          <w:color w:val="auto"/>
          <w:kern w:val="2"/>
        </w:rPr>
        <w:t>。</w:t>
      </w:r>
    </w:p>
    <w:p w14:paraId="41F65829" w14:textId="77777777" w:rsidR="008A6127" w:rsidRDefault="00437D9F">
      <w:pPr>
        <w:pStyle w:val="Default"/>
        <w:numPr>
          <w:ilvl w:val="0"/>
          <w:numId w:val="26"/>
        </w:numPr>
        <w:spacing w:line="360" w:lineRule="auto"/>
        <w:ind w:firstLineChars="200" w:firstLine="480"/>
        <w:rPr>
          <w:rFonts w:hAnsi="宋体"/>
          <w:color w:val="auto"/>
          <w:kern w:val="2"/>
        </w:rPr>
      </w:pPr>
      <w:r>
        <w:rPr>
          <w:rFonts w:hAnsi="宋体" w:hint="eastAsia"/>
          <w:color w:val="auto"/>
          <w:kern w:val="2"/>
        </w:rPr>
        <w:t>投资集中度风险</w:t>
      </w:r>
      <w:r>
        <w:rPr>
          <w:rFonts w:hAnsi="宋体"/>
          <w:color w:val="auto"/>
          <w:kern w:val="2"/>
        </w:rPr>
        <w:t>：</w:t>
      </w:r>
      <w:r>
        <w:rPr>
          <w:rFonts w:hAnsi="宋体" w:hint="eastAsia"/>
          <w:color w:val="auto"/>
          <w:kern w:val="2"/>
        </w:rPr>
        <w:t>北交所为新设交易所，初期可投标的较少，投资者容易集中投资于少量个股，市场可能存在高集中度状况，整体存在集中度风险。</w:t>
      </w:r>
      <w:proofErr w:type="gramStart"/>
      <w:r>
        <w:rPr>
          <w:rFonts w:hAnsi="宋体" w:hint="eastAsia"/>
          <w:color w:val="auto"/>
          <w:kern w:val="2"/>
        </w:rPr>
        <w:t>且北交</w:t>
      </w:r>
      <w:proofErr w:type="gramEnd"/>
      <w:r>
        <w:rPr>
          <w:rFonts w:hAnsi="宋体" w:hint="eastAsia"/>
          <w:color w:val="auto"/>
          <w:kern w:val="2"/>
        </w:rPr>
        <w:t>所的上市公司均为创新型中小企业，其商业模式、盈利风险、业绩波动等特征较为相似，基金难以通过分散投资降低投资风险，若股票价格波动将引起基金净值波动。</w:t>
      </w:r>
    </w:p>
    <w:p w14:paraId="22A0FF94" w14:textId="77777777" w:rsidR="008A6127" w:rsidRDefault="00437D9F">
      <w:pPr>
        <w:pStyle w:val="Default"/>
        <w:numPr>
          <w:ilvl w:val="0"/>
          <w:numId w:val="26"/>
        </w:numPr>
        <w:spacing w:line="360" w:lineRule="auto"/>
        <w:ind w:firstLineChars="200" w:firstLine="480"/>
        <w:rPr>
          <w:rFonts w:hAnsi="宋体"/>
          <w:color w:val="auto"/>
          <w:kern w:val="2"/>
        </w:rPr>
      </w:pPr>
      <w:r>
        <w:rPr>
          <w:rFonts w:hAnsi="宋体" w:hint="eastAsia"/>
          <w:color w:val="auto"/>
          <w:kern w:val="2"/>
        </w:rPr>
        <w:t>监管规则变化的风险：北交</w:t>
      </w:r>
      <w:proofErr w:type="gramStart"/>
      <w:r>
        <w:rPr>
          <w:rFonts w:hAnsi="宋体" w:hint="eastAsia"/>
          <w:color w:val="auto"/>
          <w:kern w:val="2"/>
        </w:rPr>
        <w:t>所相关</w:t>
      </w:r>
      <w:proofErr w:type="gramEnd"/>
      <w:r>
        <w:rPr>
          <w:rFonts w:hAnsi="宋体" w:hint="eastAsia"/>
          <w:color w:val="auto"/>
          <w:kern w:val="2"/>
        </w:rPr>
        <w:t>法律、行政法规、部门规章、规范性文件和交易所业务规则，可能根据市场情况进行修改完善，或者补充制定新的法律法规和业务规则，可能对基金投资运作产生影响，或导致基金投资运作相应调整变化。</w:t>
      </w:r>
    </w:p>
    <w:p w14:paraId="15798CB6"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（十三）</w:t>
      </w:r>
      <w:bookmarkStart w:id="392" w:name="_Hlk1057331"/>
      <w:r>
        <w:rPr>
          <w:rFonts w:hAnsi="宋体" w:hint="eastAsia"/>
          <w:b/>
          <w:sz w:val="24"/>
          <w:szCs w:val="24"/>
        </w:rPr>
        <w:t>基金管理人职责终止风险</w:t>
      </w:r>
      <w:bookmarkEnd w:id="392"/>
    </w:p>
    <w:p w14:paraId="7317E19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因违法经营或者出现重大风险等情况，可能发生基金管理人被依法取消基金管理资格或依法解散、被依法撤销或者被依法宣告破产等情况。在基金管理人职责终止情况下，投资者面临基金管理人变更或基金合同终止的风险。基金管理人职责终止，涉及基金管理人、临时基金管理人、</w:t>
      </w:r>
      <w:proofErr w:type="gramStart"/>
      <w:r>
        <w:rPr>
          <w:rFonts w:ascii="宋体" w:hAnsi="宋体" w:hint="eastAsia"/>
          <w:sz w:val="24"/>
        </w:rPr>
        <w:t>新任基金</w:t>
      </w:r>
      <w:proofErr w:type="gramEnd"/>
      <w:r>
        <w:rPr>
          <w:rFonts w:ascii="宋体" w:hAnsi="宋体" w:hint="eastAsia"/>
          <w:sz w:val="24"/>
        </w:rPr>
        <w:t>管理人之间责任划分的，相关基金管理人对各自履职行为依法承担责任。</w:t>
      </w:r>
    </w:p>
    <w:p w14:paraId="7635E532"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（十四）</w:t>
      </w:r>
      <w:bookmarkStart w:id="393" w:name="_Hlk1057340"/>
      <w:r>
        <w:rPr>
          <w:rFonts w:hAnsi="宋体" w:hint="eastAsia"/>
          <w:b/>
          <w:sz w:val="24"/>
          <w:szCs w:val="24"/>
        </w:rPr>
        <w:t>本基金法律文件风险收益特征表述与销售机构基金风险评价可能不一致的风险</w:t>
      </w:r>
      <w:bookmarkEnd w:id="393"/>
    </w:p>
    <w:p w14:paraId="0CA6A7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可能不同，因此销售机构的风险等级评价与基金法律文件中风险收益特征的表述也可能存在不同，投资人在购买本基金时需按照销售机构的要求完成风险承受能力与产品风险之间的匹配检验。</w:t>
      </w:r>
    </w:p>
    <w:p w14:paraId="708307D3" w14:textId="77777777" w:rsidR="008A6127" w:rsidRDefault="00437D9F">
      <w:pPr>
        <w:pStyle w:val="33"/>
        <w:snapToGrid w:val="0"/>
        <w:spacing w:line="360" w:lineRule="auto"/>
        <w:ind w:firstLineChars="200" w:firstLine="482"/>
        <w:rPr>
          <w:rFonts w:hAnsi="宋体"/>
          <w:b/>
          <w:sz w:val="24"/>
          <w:szCs w:val="24"/>
        </w:rPr>
      </w:pPr>
      <w:r>
        <w:rPr>
          <w:rFonts w:hAnsi="宋体" w:hint="eastAsia"/>
          <w:b/>
          <w:sz w:val="24"/>
          <w:szCs w:val="24"/>
        </w:rPr>
        <w:t>（十五）</w:t>
      </w:r>
      <w:bookmarkStart w:id="394" w:name="_Hlk1057351"/>
      <w:r>
        <w:rPr>
          <w:rFonts w:hAnsi="宋体" w:hint="eastAsia"/>
          <w:b/>
          <w:sz w:val="24"/>
          <w:szCs w:val="24"/>
        </w:rPr>
        <w:t>其他风险</w:t>
      </w:r>
      <w:bookmarkEnd w:id="394"/>
    </w:p>
    <w:p w14:paraId="6DD0267B"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、因技术因素而产生的风险，如电脑等技术系统的故障或差错产生的风险；</w:t>
      </w:r>
    </w:p>
    <w:p w14:paraId="65612E33"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2</w:t>
      </w:r>
      <w:r>
        <w:rPr>
          <w:rFonts w:ascii="宋体" w:hAnsi="宋体" w:hint="eastAsia"/>
          <w:sz w:val="24"/>
        </w:rPr>
        <w:t>、因战争、自然灾害等不可抗力导致的基金管理人、基金托管人、基金服务机构等机构无法正常工作，从而影响基金运作的风险；</w:t>
      </w:r>
    </w:p>
    <w:p w14:paraId="5C363B8F"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、因金融市场危机、代理商违约、基金托管人违约等超出基金管理人自身控制能力的因素出现，可能导致基金或者基金份额持有人利益受损的风险；</w:t>
      </w:r>
    </w:p>
    <w:p w14:paraId="2797BF68"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、其他意外导致的风险。</w:t>
      </w:r>
    </w:p>
    <w:p w14:paraId="0396C630"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rPr>
        <w:br w:type="page"/>
      </w:r>
      <w:bookmarkStart w:id="395" w:name="_Toc405455134"/>
      <w:bookmarkStart w:id="396" w:name="_Toc25124"/>
      <w:bookmarkStart w:id="397" w:name="_Toc26462"/>
      <w:bookmarkStart w:id="398" w:name="_Toc4928"/>
      <w:bookmarkStart w:id="399" w:name="_Toc421532555"/>
      <w:bookmarkStart w:id="400" w:name="_Toc19975"/>
      <w:bookmarkStart w:id="401" w:name="_Toc362533466"/>
      <w:bookmarkStart w:id="402" w:name="_Toc360793861"/>
      <w:bookmarkStart w:id="403" w:name="_Toc20230"/>
      <w:bookmarkStart w:id="404" w:name="_Toc360794111"/>
      <w:bookmarkStart w:id="405" w:name="_Toc360793509"/>
      <w:bookmarkStart w:id="406" w:name="_Toc360794419"/>
      <w:bookmarkStart w:id="407" w:name="_Toc360794527"/>
      <w:bookmarkStart w:id="408" w:name="_Toc362455194"/>
      <w:bookmarkStart w:id="409" w:name="_Toc204678797"/>
      <w:r>
        <w:rPr>
          <w:rFonts w:ascii="Cambria" w:hAnsi="Cambria" w:hint="eastAsia"/>
          <w:sz w:val="32"/>
          <w:szCs w:val="32"/>
        </w:rPr>
        <w:lastRenderedPageBreak/>
        <w:t>基金合同的变更、终止与基金财产的清算</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4A3DC4E7" w14:textId="77777777" w:rsidR="008A6127" w:rsidRDefault="00437D9F">
      <w:pPr>
        <w:snapToGrid w:val="0"/>
        <w:spacing w:line="360" w:lineRule="auto"/>
        <w:ind w:firstLineChars="200" w:firstLine="482"/>
        <w:rPr>
          <w:rFonts w:ascii="Cambria" w:hAnsi="Cambria"/>
          <w:b/>
          <w:kern w:val="0"/>
          <w:sz w:val="24"/>
        </w:rPr>
      </w:pPr>
      <w:r>
        <w:rPr>
          <w:rFonts w:ascii="Cambria" w:hAnsi="Cambria" w:hint="eastAsia"/>
          <w:b/>
          <w:kern w:val="0"/>
          <w:sz w:val="24"/>
        </w:rPr>
        <w:t>（一）《基金合同》的变更</w:t>
      </w:r>
    </w:p>
    <w:p w14:paraId="3EB7A4DD" w14:textId="77777777" w:rsidR="008A6127" w:rsidRDefault="00437D9F">
      <w:pPr>
        <w:snapToGrid w:val="0"/>
        <w:spacing w:line="360" w:lineRule="auto"/>
        <w:ind w:firstLineChars="200" w:firstLine="480"/>
        <w:rPr>
          <w:rFonts w:ascii="宋体" w:hAnsi="宋体"/>
          <w:sz w:val="24"/>
        </w:rPr>
      </w:pPr>
      <w:r>
        <w:rPr>
          <w:rFonts w:ascii="宋体" w:hAnsi="宋体"/>
          <w:sz w:val="24"/>
        </w:rPr>
        <w:t>1、变更基金合同</w:t>
      </w:r>
      <w:r>
        <w:rPr>
          <w:rFonts w:ascii="宋体" w:hAnsi="宋体" w:hint="eastAsia"/>
          <w:sz w:val="24"/>
        </w:rPr>
        <w:t>涉及</w:t>
      </w:r>
      <w:r>
        <w:rPr>
          <w:rFonts w:ascii="宋体" w:hAnsi="宋体"/>
          <w:sz w:val="24"/>
        </w:rPr>
        <w:t>法律法规规定或</w:t>
      </w:r>
      <w:r>
        <w:rPr>
          <w:rFonts w:ascii="宋体" w:hAnsi="宋体" w:hint="eastAsia"/>
          <w:sz w:val="24"/>
        </w:rPr>
        <w:t>《基金合同》</w:t>
      </w:r>
      <w:r>
        <w:rPr>
          <w:rFonts w:ascii="宋体" w:hAnsi="宋体"/>
          <w:sz w:val="24"/>
        </w:rPr>
        <w:t>约定应经基金份额持有人大会决议通过的事项的，应召</w:t>
      </w:r>
      <w:proofErr w:type="gramStart"/>
      <w:r>
        <w:rPr>
          <w:rFonts w:ascii="宋体" w:hAnsi="宋体"/>
          <w:sz w:val="24"/>
        </w:rPr>
        <w:t>开基金</w:t>
      </w:r>
      <w:proofErr w:type="gramEnd"/>
      <w:r>
        <w:rPr>
          <w:rFonts w:ascii="宋体" w:hAnsi="宋体"/>
          <w:sz w:val="24"/>
        </w:rPr>
        <w:t>份额持有人大会决议通过。对于法律法规规定和基金合同约定可不经基金份额持有人大会决议通过的事项，由基金管理人和基金托管人同意后变更并公告，并报中国证监会备案。</w:t>
      </w:r>
    </w:p>
    <w:p w14:paraId="263C8F0C" w14:textId="77777777" w:rsidR="008A6127" w:rsidRDefault="00437D9F">
      <w:pPr>
        <w:snapToGrid w:val="0"/>
        <w:spacing w:line="360" w:lineRule="auto"/>
        <w:ind w:firstLineChars="200" w:firstLine="480"/>
        <w:rPr>
          <w:rFonts w:ascii="宋体" w:hAnsi="宋体"/>
          <w:sz w:val="24"/>
        </w:rPr>
      </w:pPr>
      <w:r>
        <w:rPr>
          <w:rFonts w:ascii="宋体" w:hAnsi="宋体"/>
          <w:sz w:val="24"/>
        </w:rPr>
        <w:t>2、关于《基金合同》变更的基金份额持有人大会决议</w:t>
      </w:r>
      <w:r>
        <w:rPr>
          <w:rFonts w:ascii="宋体" w:hAnsi="宋体" w:hint="eastAsia"/>
          <w:sz w:val="24"/>
        </w:rPr>
        <w:t>自</w:t>
      </w:r>
      <w:r>
        <w:rPr>
          <w:rFonts w:ascii="宋体" w:hAnsi="宋体"/>
          <w:sz w:val="24"/>
        </w:rPr>
        <w:t>生效后方可执行，</w:t>
      </w:r>
      <w:proofErr w:type="gramStart"/>
      <w:r>
        <w:rPr>
          <w:rFonts w:ascii="宋体" w:hAnsi="宋体"/>
          <w:sz w:val="24"/>
        </w:rPr>
        <w:t>自决议</w:t>
      </w:r>
      <w:proofErr w:type="gramEnd"/>
      <w:r>
        <w:rPr>
          <w:rFonts w:ascii="宋体" w:hAnsi="宋体"/>
          <w:sz w:val="24"/>
        </w:rPr>
        <w:t>生效</w:t>
      </w:r>
      <w:r>
        <w:rPr>
          <w:rFonts w:ascii="宋体" w:hAnsi="宋体" w:hint="eastAsia"/>
          <w:sz w:val="24"/>
        </w:rPr>
        <w:t>后两日内在</w:t>
      </w:r>
      <w:r>
        <w:rPr>
          <w:rFonts w:ascii="宋体" w:hAnsi="宋体"/>
          <w:sz w:val="24"/>
        </w:rPr>
        <w:t>规定媒介公告。</w:t>
      </w:r>
    </w:p>
    <w:p w14:paraId="7C489440" w14:textId="77777777" w:rsidR="008A6127" w:rsidRDefault="00437D9F">
      <w:pPr>
        <w:snapToGrid w:val="0"/>
        <w:spacing w:line="360" w:lineRule="auto"/>
        <w:ind w:firstLineChars="200" w:firstLine="482"/>
        <w:rPr>
          <w:rFonts w:ascii="Cambria" w:hAnsi="Cambria"/>
          <w:b/>
          <w:kern w:val="0"/>
          <w:sz w:val="24"/>
        </w:rPr>
      </w:pPr>
      <w:r>
        <w:rPr>
          <w:rFonts w:ascii="Cambria" w:hAnsi="Cambria" w:hint="eastAsia"/>
          <w:b/>
          <w:kern w:val="0"/>
          <w:sz w:val="24"/>
        </w:rPr>
        <w:t>（二）《基金合同》的终止事由</w:t>
      </w:r>
    </w:p>
    <w:p w14:paraId="076C53BD" w14:textId="77777777" w:rsidR="008A6127" w:rsidRDefault="00437D9F">
      <w:pPr>
        <w:snapToGrid w:val="0"/>
        <w:spacing w:line="360" w:lineRule="auto"/>
        <w:ind w:firstLineChars="200" w:firstLine="480"/>
        <w:rPr>
          <w:rFonts w:ascii="宋体" w:hAnsi="宋体"/>
          <w:sz w:val="24"/>
        </w:rPr>
      </w:pPr>
      <w:r>
        <w:rPr>
          <w:rFonts w:ascii="宋体" w:hAnsi="宋体"/>
          <w:sz w:val="24"/>
        </w:rPr>
        <w:t>有下列情形之一的，</w:t>
      </w:r>
      <w:r>
        <w:rPr>
          <w:rFonts w:ascii="宋体" w:hAnsi="宋体" w:hint="eastAsia"/>
          <w:sz w:val="24"/>
        </w:rPr>
        <w:t>经履行相关程序后，</w:t>
      </w:r>
      <w:r>
        <w:rPr>
          <w:rFonts w:ascii="宋体" w:hAnsi="宋体"/>
          <w:sz w:val="24"/>
        </w:rPr>
        <w:t>《基金合同》应当终止：</w:t>
      </w:r>
    </w:p>
    <w:p w14:paraId="61D53022" w14:textId="77777777" w:rsidR="008A6127" w:rsidRDefault="00437D9F">
      <w:pPr>
        <w:snapToGrid w:val="0"/>
        <w:spacing w:line="360" w:lineRule="auto"/>
        <w:ind w:firstLineChars="200" w:firstLine="480"/>
        <w:rPr>
          <w:rFonts w:ascii="宋体" w:hAnsi="宋体"/>
          <w:sz w:val="24"/>
        </w:rPr>
      </w:pPr>
      <w:r>
        <w:rPr>
          <w:rFonts w:ascii="宋体" w:hAnsi="宋体"/>
          <w:sz w:val="24"/>
        </w:rPr>
        <w:t>1、基金份额持有人大会决定终止的；</w:t>
      </w:r>
    </w:p>
    <w:p w14:paraId="4AA46437" w14:textId="77777777" w:rsidR="008A6127" w:rsidRDefault="00437D9F">
      <w:pPr>
        <w:snapToGrid w:val="0"/>
        <w:spacing w:line="360" w:lineRule="auto"/>
        <w:ind w:firstLineChars="200" w:firstLine="480"/>
        <w:rPr>
          <w:rFonts w:ascii="宋体" w:hAnsi="宋体"/>
          <w:sz w:val="24"/>
        </w:rPr>
      </w:pPr>
      <w:r>
        <w:rPr>
          <w:rFonts w:ascii="宋体" w:hAnsi="宋体"/>
          <w:sz w:val="24"/>
        </w:rPr>
        <w:t>2、基金管理人、基金托管人职责终止，在6个月内没有新基金管理人、新基金托管人承接的；</w:t>
      </w:r>
    </w:p>
    <w:p w14:paraId="1FA55FF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r>
        <w:rPr>
          <w:rFonts w:ascii="宋体" w:hAnsi="宋体"/>
          <w:sz w:val="24"/>
        </w:rPr>
        <w:t>、《基金合同》约定的其他情形；</w:t>
      </w:r>
    </w:p>
    <w:p w14:paraId="265FFD6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、相关法律法规和中国证监会规定的其他情况。</w:t>
      </w:r>
    </w:p>
    <w:p w14:paraId="4B88E408" w14:textId="77777777" w:rsidR="008A6127" w:rsidRDefault="00437D9F">
      <w:pPr>
        <w:snapToGrid w:val="0"/>
        <w:spacing w:line="360" w:lineRule="auto"/>
        <w:ind w:firstLineChars="200" w:firstLine="482"/>
        <w:rPr>
          <w:rFonts w:ascii="Cambria" w:hAnsi="Cambria"/>
          <w:b/>
          <w:kern w:val="0"/>
          <w:sz w:val="24"/>
        </w:rPr>
      </w:pPr>
      <w:r>
        <w:rPr>
          <w:rFonts w:ascii="Cambria" w:hAnsi="Cambria" w:hint="eastAsia"/>
          <w:b/>
          <w:kern w:val="0"/>
          <w:sz w:val="24"/>
        </w:rPr>
        <w:t>（三）基金财产的清算</w:t>
      </w:r>
    </w:p>
    <w:p w14:paraId="5DA0E6AA" w14:textId="77777777" w:rsidR="008A6127" w:rsidRDefault="00437D9F">
      <w:pPr>
        <w:snapToGrid w:val="0"/>
        <w:spacing w:line="360" w:lineRule="auto"/>
        <w:ind w:firstLineChars="200" w:firstLine="480"/>
        <w:rPr>
          <w:rFonts w:ascii="宋体" w:hAnsi="宋体"/>
          <w:sz w:val="24"/>
        </w:rPr>
      </w:pPr>
      <w:r>
        <w:rPr>
          <w:rFonts w:ascii="宋体" w:hAnsi="宋体"/>
          <w:sz w:val="24"/>
        </w:rPr>
        <w:t>1、基金财产清算小组：自出现《基金合同》终止事由之日起30个工作日内成立清算小组，基金管理人</w:t>
      </w:r>
      <w:r>
        <w:rPr>
          <w:rFonts w:ascii="宋体" w:hAnsi="宋体" w:hint="eastAsia"/>
          <w:sz w:val="24"/>
        </w:rPr>
        <w:t>或临时基金管理人</w:t>
      </w:r>
      <w:r>
        <w:rPr>
          <w:rFonts w:ascii="宋体" w:hAnsi="宋体"/>
          <w:sz w:val="24"/>
        </w:rPr>
        <w:t>组织基金财产清算小组并在中国证监会的监督下进行基金清算</w:t>
      </w:r>
      <w:r>
        <w:rPr>
          <w:rFonts w:ascii="宋体" w:hAnsi="宋体" w:hint="eastAsia"/>
          <w:sz w:val="24"/>
        </w:rPr>
        <w:t>。</w:t>
      </w:r>
    </w:p>
    <w:p w14:paraId="00BDE6D9" w14:textId="77777777" w:rsidR="008A6127" w:rsidRDefault="00437D9F">
      <w:pPr>
        <w:snapToGrid w:val="0"/>
        <w:spacing w:line="360" w:lineRule="auto"/>
        <w:ind w:firstLineChars="200" w:firstLine="480"/>
        <w:rPr>
          <w:rFonts w:ascii="宋体" w:hAnsi="宋体"/>
          <w:sz w:val="24"/>
        </w:rPr>
      </w:pPr>
      <w:r>
        <w:rPr>
          <w:rFonts w:ascii="宋体" w:hAnsi="宋体"/>
          <w:sz w:val="24"/>
        </w:rPr>
        <w:t>2、基金财产清算小组组成：基金财产清算小组成员由基金管理人</w:t>
      </w:r>
      <w:r>
        <w:rPr>
          <w:rFonts w:ascii="宋体" w:hAnsi="宋体" w:hint="eastAsia"/>
          <w:sz w:val="24"/>
        </w:rPr>
        <w:t>或临时基金管理人</w:t>
      </w:r>
      <w:r>
        <w:rPr>
          <w:rFonts w:ascii="宋体" w:hAnsi="宋体"/>
          <w:sz w:val="24"/>
        </w:rPr>
        <w:t>、基金托管人、具有从事证券</w:t>
      </w:r>
      <w:r>
        <w:rPr>
          <w:rFonts w:ascii="宋体" w:hAnsi="宋体" w:hint="eastAsia"/>
          <w:sz w:val="24"/>
        </w:rPr>
        <w:t>、期货</w:t>
      </w:r>
      <w:r>
        <w:rPr>
          <w:rFonts w:ascii="宋体" w:hAnsi="宋体"/>
          <w:sz w:val="24"/>
        </w:rPr>
        <w:t>相关业务资格的注册会计师、律师以及中国证监会指定的人员组成。基金财产清算小组可以聘用必要的工作人员。</w:t>
      </w:r>
    </w:p>
    <w:p w14:paraId="104DB334" w14:textId="77777777" w:rsidR="008A6127" w:rsidRDefault="00437D9F">
      <w:pPr>
        <w:snapToGrid w:val="0"/>
        <w:spacing w:line="360" w:lineRule="auto"/>
        <w:ind w:firstLineChars="200" w:firstLine="480"/>
        <w:rPr>
          <w:rFonts w:ascii="宋体" w:hAnsi="宋体"/>
          <w:sz w:val="24"/>
        </w:rPr>
      </w:pPr>
      <w:r>
        <w:rPr>
          <w:rFonts w:ascii="宋体" w:hAnsi="宋体"/>
          <w:sz w:val="24"/>
        </w:rPr>
        <w:t>3、基金财产清算小组职责：基金财产清算小组负责基金财产的保管、清理、估价、变现和分配。基金财产清算小组可以依法进行必要的民事活动。</w:t>
      </w:r>
    </w:p>
    <w:p w14:paraId="0FE0975B" w14:textId="77777777" w:rsidR="008A6127" w:rsidRDefault="00437D9F">
      <w:pPr>
        <w:snapToGrid w:val="0"/>
        <w:spacing w:line="360" w:lineRule="auto"/>
        <w:ind w:firstLineChars="200" w:firstLine="480"/>
        <w:rPr>
          <w:rFonts w:ascii="宋体" w:hAnsi="宋体"/>
          <w:sz w:val="24"/>
        </w:rPr>
      </w:pPr>
      <w:r>
        <w:rPr>
          <w:rFonts w:ascii="宋体" w:hAnsi="宋体"/>
          <w:sz w:val="24"/>
        </w:rPr>
        <w:t>4、基金财产清算程序：</w:t>
      </w:r>
    </w:p>
    <w:p w14:paraId="361B2549" w14:textId="77777777" w:rsidR="008A6127" w:rsidRDefault="00437D9F">
      <w:pPr>
        <w:snapToGrid w:val="0"/>
        <w:spacing w:line="360" w:lineRule="auto"/>
        <w:ind w:firstLineChars="200" w:firstLine="480"/>
        <w:rPr>
          <w:rFonts w:ascii="宋体" w:hAnsi="宋体"/>
          <w:sz w:val="24"/>
        </w:rPr>
      </w:pPr>
      <w:r>
        <w:rPr>
          <w:rFonts w:ascii="宋体" w:hAnsi="宋体"/>
          <w:sz w:val="24"/>
        </w:rPr>
        <w:t>（1）《基金合同》终止情形出现时，由基金财产清算小组统一接管基金；</w:t>
      </w:r>
    </w:p>
    <w:p w14:paraId="4A722B96" w14:textId="77777777" w:rsidR="008A6127" w:rsidRDefault="00437D9F">
      <w:pPr>
        <w:snapToGrid w:val="0"/>
        <w:spacing w:line="360" w:lineRule="auto"/>
        <w:ind w:firstLineChars="200" w:firstLine="480"/>
        <w:rPr>
          <w:rFonts w:ascii="宋体" w:hAnsi="宋体"/>
          <w:sz w:val="24"/>
        </w:rPr>
      </w:pPr>
      <w:r>
        <w:rPr>
          <w:rFonts w:ascii="宋体" w:hAnsi="宋体"/>
          <w:sz w:val="24"/>
        </w:rPr>
        <w:t>（2）对基金财产和债权债务进行清理和确认；</w:t>
      </w:r>
    </w:p>
    <w:p w14:paraId="18FEF55B" w14:textId="77777777" w:rsidR="008A6127" w:rsidRDefault="00437D9F">
      <w:pPr>
        <w:snapToGrid w:val="0"/>
        <w:spacing w:line="360" w:lineRule="auto"/>
        <w:ind w:firstLineChars="200" w:firstLine="480"/>
        <w:rPr>
          <w:rFonts w:ascii="宋体" w:hAnsi="宋体"/>
          <w:sz w:val="24"/>
        </w:rPr>
      </w:pPr>
      <w:r>
        <w:rPr>
          <w:rFonts w:ascii="宋体" w:hAnsi="宋体"/>
          <w:sz w:val="24"/>
        </w:rPr>
        <w:t>（3）对基金财产进行估值和变现；</w:t>
      </w:r>
    </w:p>
    <w:p w14:paraId="08177210" w14:textId="77777777" w:rsidR="008A6127" w:rsidRDefault="00437D9F">
      <w:pPr>
        <w:snapToGrid w:val="0"/>
        <w:spacing w:line="360" w:lineRule="auto"/>
        <w:ind w:firstLineChars="200" w:firstLine="480"/>
        <w:rPr>
          <w:rFonts w:ascii="宋体" w:hAnsi="宋体"/>
          <w:sz w:val="24"/>
        </w:rPr>
      </w:pPr>
      <w:r>
        <w:rPr>
          <w:rFonts w:ascii="宋体" w:hAnsi="宋体"/>
          <w:sz w:val="24"/>
        </w:rPr>
        <w:t>（4）制作清算报告；</w:t>
      </w:r>
    </w:p>
    <w:p w14:paraId="067F86AA"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（5）聘请会计师事务所对清算报告进行外部审计，聘请律师事务所对清算报告出具法律意见书；</w:t>
      </w:r>
    </w:p>
    <w:p w14:paraId="655DD9BC" w14:textId="77777777" w:rsidR="008A6127" w:rsidRDefault="00437D9F">
      <w:pPr>
        <w:snapToGrid w:val="0"/>
        <w:spacing w:line="360" w:lineRule="auto"/>
        <w:ind w:firstLineChars="200" w:firstLine="480"/>
        <w:rPr>
          <w:rFonts w:ascii="宋体" w:hAnsi="宋体"/>
          <w:sz w:val="24"/>
        </w:rPr>
      </w:pPr>
      <w:r>
        <w:rPr>
          <w:rFonts w:ascii="宋体" w:hAnsi="宋体"/>
          <w:sz w:val="24"/>
        </w:rPr>
        <w:t>（6）将清算报告报中国证监会备案并公告</w:t>
      </w:r>
      <w:r>
        <w:rPr>
          <w:rFonts w:ascii="宋体" w:hAnsi="宋体" w:hint="eastAsia"/>
          <w:sz w:val="24"/>
        </w:rPr>
        <w:t>；</w:t>
      </w:r>
    </w:p>
    <w:p w14:paraId="5C76E10E" w14:textId="77777777" w:rsidR="008A6127" w:rsidRDefault="00437D9F">
      <w:pPr>
        <w:snapToGrid w:val="0"/>
        <w:spacing w:line="360" w:lineRule="auto"/>
        <w:ind w:firstLineChars="200" w:firstLine="480"/>
        <w:rPr>
          <w:rFonts w:ascii="宋体" w:hAnsi="宋体"/>
          <w:sz w:val="24"/>
        </w:rPr>
      </w:pPr>
      <w:r>
        <w:rPr>
          <w:rFonts w:ascii="宋体" w:hAnsi="宋体"/>
          <w:sz w:val="24"/>
        </w:rPr>
        <w:t>（7）对基金</w:t>
      </w:r>
      <w:r>
        <w:rPr>
          <w:rFonts w:ascii="宋体" w:hAnsi="宋体" w:hint="eastAsia"/>
          <w:sz w:val="24"/>
        </w:rPr>
        <w:t>剩余</w:t>
      </w:r>
      <w:r>
        <w:rPr>
          <w:rFonts w:ascii="宋体" w:hAnsi="宋体"/>
          <w:sz w:val="24"/>
        </w:rPr>
        <w:t>财产进行分配</w:t>
      </w:r>
      <w:r>
        <w:rPr>
          <w:rFonts w:ascii="宋体" w:hAnsi="宋体" w:hint="eastAsia"/>
          <w:sz w:val="24"/>
        </w:rPr>
        <w:t>。</w:t>
      </w:r>
    </w:p>
    <w:p w14:paraId="57A4B52B" w14:textId="77777777" w:rsidR="008A6127" w:rsidRDefault="00437D9F">
      <w:pPr>
        <w:snapToGrid w:val="0"/>
        <w:spacing w:line="360" w:lineRule="auto"/>
        <w:ind w:firstLineChars="200" w:firstLine="480"/>
        <w:rPr>
          <w:rFonts w:ascii="宋体" w:hAnsi="宋体"/>
          <w:sz w:val="24"/>
        </w:rPr>
      </w:pPr>
      <w:r>
        <w:rPr>
          <w:rFonts w:ascii="宋体" w:hAnsi="宋体"/>
          <w:sz w:val="24"/>
        </w:rPr>
        <w:t>5、基金财产清算的期限为</w:t>
      </w:r>
      <w:r>
        <w:rPr>
          <w:rFonts w:ascii="宋体" w:hAnsi="宋体" w:hint="eastAsia"/>
          <w:sz w:val="24"/>
        </w:rPr>
        <w:t>6</w:t>
      </w:r>
      <w:r>
        <w:rPr>
          <w:rFonts w:ascii="宋体" w:hAnsi="宋体"/>
          <w:sz w:val="24"/>
        </w:rPr>
        <w:t>个月，但因本基金所持证券的流动性受到限制而不能及时变现的，清算期限相应顺延。</w:t>
      </w:r>
    </w:p>
    <w:p w14:paraId="64C71FB7" w14:textId="77777777" w:rsidR="008A6127" w:rsidRDefault="00437D9F">
      <w:pPr>
        <w:snapToGrid w:val="0"/>
        <w:spacing w:line="360" w:lineRule="auto"/>
        <w:ind w:firstLineChars="200" w:firstLine="482"/>
        <w:rPr>
          <w:rFonts w:ascii="Cambria" w:hAnsi="Cambria"/>
          <w:b/>
          <w:kern w:val="0"/>
          <w:sz w:val="24"/>
        </w:rPr>
      </w:pPr>
      <w:r>
        <w:rPr>
          <w:rFonts w:ascii="Cambria" w:hAnsi="Cambria" w:hint="eastAsia"/>
          <w:b/>
          <w:kern w:val="0"/>
          <w:sz w:val="24"/>
        </w:rPr>
        <w:t>（四）清算费用</w:t>
      </w:r>
    </w:p>
    <w:p w14:paraId="46189B4D" w14:textId="77777777" w:rsidR="008A6127" w:rsidRDefault="00437D9F">
      <w:pPr>
        <w:snapToGrid w:val="0"/>
        <w:spacing w:line="360" w:lineRule="auto"/>
        <w:ind w:firstLineChars="200" w:firstLine="480"/>
        <w:rPr>
          <w:rFonts w:ascii="宋体" w:hAnsi="宋体"/>
          <w:sz w:val="24"/>
        </w:rPr>
      </w:pPr>
      <w:r>
        <w:rPr>
          <w:rFonts w:ascii="宋体" w:hAnsi="宋体"/>
          <w:sz w:val="24"/>
        </w:rPr>
        <w:t>清算费用是指基金财产清算小组在进行基金清算过程中发生的所有合理费用，清算费用由基金财产清算小组优先从基金财产中支付。</w:t>
      </w:r>
    </w:p>
    <w:p w14:paraId="390AC16C" w14:textId="77777777" w:rsidR="008A6127" w:rsidRDefault="00437D9F">
      <w:pPr>
        <w:snapToGrid w:val="0"/>
        <w:spacing w:line="360" w:lineRule="auto"/>
        <w:ind w:firstLineChars="200" w:firstLine="482"/>
        <w:rPr>
          <w:rFonts w:ascii="Cambria" w:hAnsi="Cambria"/>
          <w:b/>
          <w:kern w:val="0"/>
          <w:sz w:val="24"/>
        </w:rPr>
      </w:pPr>
      <w:r>
        <w:rPr>
          <w:rFonts w:ascii="Cambria" w:hAnsi="Cambria" w:hint="eastAsia"/>
          <w:b/>
          <w:kern w:val="0"/>
          <w:sz w:val="24"/>
        </w:rPr>
        <w:t>（五）基金财产清算剩余资产的分配</w:t>
      </w:r>
    </w:p>
    <w:p w14:paraId="6CAB2E03" w14:textId="77777777" w:rsidR="008A6127" w:rsidRDefault="00437D9F">
      <w:pPr>
        <w:snapToGrid w:val="0"/>
        <w:spacing w:line="360" w:lineRule="auto"/>
        <w:ind w:firstLineChars="200" w:firstLine="480"/>
        <w:rPr>
          <w:rFonts w:ascii="宋体" w:hAnsi="宋体"/>
          <w:sz w:val="24"/>
        </w:rPr>
      </w:pPr>
      <w:r>
        <w:rPr>
          <w:rFonts w:ascii="宋体" w:hAnsi="宋体"/>
          <w:sz w:val="24"/>
        </w:rPr>
        <w:t>依据基金财产清算的分配方案，将基金财产清算后的全部剩余资产扣除基金财产清算费用、交纳所欠税款并清偿基金债务后，按基金份额持有人持有的基金份额比例进行分配。</w:t>
      </w:r>
    </w:p>
    <w:p w14:paraId="7E112ADD" w14:textId="77777777" w:rsidR="008A6127" w:rsidRDefault="00437D9F">
      <w:pPr>
        <w:snapToGrid w:val="0"/>
        <w:spacing w:line="360" w:lineRule="auto"/>
        <w:ind w:firstLineChars="200" w:firstLine="482"/>
        <w:rPr>
          <w:rFonts w:ascii="Cambria" w:hAnsi="Cambria"/>
          <w:b/>
          <w:kern w:val="0"/>
          <w:sz w:val="24"/>
        </w:rPr>
      </w:pPr>
      <w:r>
        <w:rPr>
          <w:rFonts w:ascii="Cambria" w:hAnsi="Cambria" w:hint="eastAsia"/>
          <w:b/>
          <w:kern w:val="0"/>
          <w:sz w:val="24"/>
        </w:rPr>
        <w:t>（六）基金财产清算的公告</w:t>
      </w:r>
    </w:p>
    <w:p w14:paraId="73A65133" w14:textId="77777777" w:rsidR="008A6127" w:rsidRDefault="00437D9F">
      <w:pPr>
        <w:snapToGrid w:val="0"/>
        <w:spacing w:line="360" w:lineRule="auto"/>
        <w:ind w:firstLineChars="200" w:firstLine="480"/>
        <w:rPr>
          <w:rFonts w:ascii="宋体" w:hAnsi="宋体"/>
          <w:sz w:val="24"/>
        </w:rPr>
      </w:pPr>
      <w:r>
        <w:rPr>
          <w:rFonts w:ascii="宋体" w:hAnsi="宋体"/>
          <w:sz w:val="24"/>
        </w:rPr>
        <w:t>清算过程中的有关重大事项须及时公告；基金财产清算报告经</w:t>
      </w:r>
      <w:r>
        <w:rPr>
          <w:rFonts w:ascii="宋体" w:hAnsi="宋体" w:hint="eastAsia"/>
          <w:sz w:val="24"/>
        </w:rPr>
        <w:t>具有证券、期货相关业务资格的</w:t>
      </w:r>
      <w:r>
        <w:rPr>
          <w:rFonts w:ascii="宋体" w:hAnsi="宋体"/>
          <w:sz w:val="24"/>
        </w:rPr>
        <w:t>会计师事务所审计并由律师事务所出具法律意见书后报中国证监会备案并公告。基金财产清算公告于基金财产清算报告报中国证监会备案后5个工作日内由基金财产清算小组进行公告</w:t>
      </w:r>
      <w:r>
        <w:rPr>
          <w:rFonts w:ascii="宋体" w:hAnsi="宋体" w:hint="eastAsia"/>
          <w:sz w:val="24"/>
        </w:rPr>
        <w:t>，基金财产清算小组应当将清算报告登载在指定网站上，并将清算报告提示性公告登载在指定报刊</w:t>
      </w:r>
      <w:r>
        <w:rPr>
          <w:rFonts w:ascii="宋体" w:hAnsi="宋体"/>
          <w:sz w:val="24"/>
        </w:rPr>
        <w:t>。</w:t>
      </w:r>
    </w:p>
    <w:p w14:paraId="4E86078A" w14:textId="77777777" w:rsidR="008A6127" w:rsidRDefault="00437D9F">
      <w:pPr>
        <w:snapToGrid w:val="0"/>
        <w:spacing w:line="360" w:lineRule="auto"/>
        <w:ind w:firstLineChars="200" w:firstLine="482"/>
        <w:rPr>
          <w:rFonts w:ascii="Cambria" w:hAnsi="Cambria"/>
          <w:b/>
          <w:kern w:val="0"/>
          <w:sz w:val="24"/>
        </w:rPr>
      </w:pPr>
      <w:r>
        <w:rPr>
          <w:rFonts w:ascii="Cambria" w:hAnsi="Cambria" w:hint="eastAsia"/>
          <w:b/>
          <w:kern w:val="0"/>
          <w:sz w:val="24"/>
        </w:rPr>
        <w:t>（七）</w:t>
      </w:r>
      <w:r>
        <w:rPr>
          <w:rFonts w:ascii="Cambria" w:hAnsi="Cambria"/>
          <w:b/>
          <w:kern w:val="0"/>
          <w:sz w:val="24"/>
        </w:rPr>
        <w:t>基金财产清算账册及文件的保存</w:t>
      </w:r>
    </w:p>
    <w:p w14:paraId="06DC1646" w14:textId="77777777" w:rsidR="008A6127" w:rsidRDefault="00437D9F">
      <w:pPr>
        <w:snapToGrid w:val="0"/>
        <w:spacing w:line="360" w:lineRule="auto"/>
        <w:ind w:firstLineChars="200" w:firstLine="480"/>
        <w:rPr>
          <w:rFonts w:ascii="宋体" w:hAnsi="宋体"/>
          <w:sz w:val="24"/>
        </w:rPr>
      </w:pPr>
      <w:r>
        <w:rPr>
          <w:rFonts w:ascii="宋体" w:hAnsi="宋体"/>
          <w:sz w:val="24"/>
        </w:rPr>
        <w:t>基金财产清算账册及有关文件由基金托管人保存</w:t>
      </w:r>
      <w:r>
        <w:rPr>
          <w:rFonts w:ascii="宋体" w:hAnsi="宋体" w:hint="eastAsia"/>
          <w:sz w:val="24"/>
        </w:rPr>
        <w:t>，保存</w:t>
      </w:r>
      <w:r>
        <w:rPr>
          <w:rFonts w:ascii="宋体" w:hAnsi="宋体"/>
          <w:bCs/>
          <w:sz w:val="24"/>
        </w:rPr>
        <w:t>不低于法律法规规定的最低期限</w:t>
      </w:r>
      <w:r>
        <w:rPr>
          <w:rFonts w:ascii="宋体" w:hAnsi="宋体"/>
          <w:sz w:val="24"/>
        </w:rPr>
        <w:t>。</w:t>
      </w:r>
    </w:p>
    <w:p w14:paraId="444F2670" w14:textId="77777777" w:rsidR="008A6127" w:rsidRDefault="00437D9F">
      <w:pPr>
        <w:snapToGrid w:val="0"/>
        <w:spacing w:line="360" w:lineRule="auto"/>
        <w:ind w:firstLineChars="200" w:firstLine="482"/>
        <w:rPr>
          <w:rFonts w:ascii="Cambria" w:hAnsi="Cambria"/>
          <w:b/>
          <w:kern w:val="0"/>
          <w:sz w:val="24"/>
        </w:rPr>
      </w:pPr>
      <w:r>
        <w:rPr>
          <w:rFonts w:ascii="Cambria" w:hAnsi="Cambria" w:hint="eastAsia"/>
          <w:b/>
          <w:kern w:val="0"/>
          <w:sz w:val="24"/>
        </w:rPr>
        <w:t>（八）基金合并方案</w:t>
      </w:r>
    </w:p>
    <w:p w14:paraId="2B827A9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本基金与其他基金的合并应当按照法律法规规定的程序进行。</w:t>
      </w:r>
    </w:p>
    <w:p w14:paraId="47A4EB63"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kern w:val="0"/>
          <w:sz w:val="24"/>
        </w:rPr>
        <w:br w:type="page"/>
      </w:r>
      <w:bookmarkStart w:id="410" w:name="_Toc2049"/>
      <w:bookmarkStart w:id="411" w:name="_Toc360794528"/>
      <w:bookmarkStart w:id="412" w:name="_Toc362533467"/>
      <w:bookmarkStart w:id="413" w:name="_Toc362455195"/>
      <w:bookmarkStart w:id="414" w:name="_Toc18938"/>
      <w:bookmarkStart w:id="415" w:name="_Toc5911"/>
      <w:bookmarkStart w:id="416" w:name="_Toc360794420"/>
      <w:bookmarkStart w:id="417" w:name="_Toc421532556"/>
      <w:bookmarkStart w:id="418" w:name="_Toc19041"/>
      <w:bookmarkStart w:id="419" w:name="_Toc405455135"/>
      <w:bookmarkStart w:id="420" w:name="_Toc360793862"/>
      <w:bookmarkStart w:id="421" w:name="_Toc360793510"/>
      <w:bookmarkStart w:id="422" w:name="_Toc6954"/>
      <w:bookmarkStart w:id="423" w:name="_Toc360794112"/>
      <w:bookmarkStart w:id="424" w:name="_Toc204678798"/>
      <w:r>
        <w:rPr>
          <w:rFonts w:ascii="Cambria" w:hAnsi="Cambria" w:hint="eastAsia"/>
          <w:sz w:val="32"/>
          <w:szCs w:val="32"/>
        </w:rPr>
        <w:lastRenderedPageBreak/>
        <w:t>基金合同的内容摘要</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1CE6FF39"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（一）基金管理人、基金托管人和基金份额持有人的权利、义务</w:t>
      </w:r>
    </w:p>
    <w:p w14:paraId="64D9E16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1、基金管理人的权利</w:t>
      </w:r>
    </w:p>
    <w:p w14:paraId="15A9395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根据《基金法》、《运作办法》及其他有关规定，基金管理人的权利包括但不限于：</w:t>
      </w:r>
    </w:p>
    <w:p w14:paraId="180A4B7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（1）依法募集资金；</w:t>
      </w:r>
    </w:p>
    <w:p w14:paraId="5DFD4A2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（2）自《基金合同》生效之日起，根据法律法规和《基金合同》独立运用并管理基金财产；</w:t>
      </w:r>
    </w:p>
    <w:p w14:paraId="5911952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（3）依照《基金合同》收取基金管理费以及法律法规规定或中国证监会批准的其他费用；</w:t>
      </w:r>
    </w:p>
    <w:p w14:paraId="1294BA3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（4）销售基金份额；</w:t>
      </w:r>
    </w:p>
    <w:p w14:paraId="6EB9764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（5）按照规定召集基金份额持有人大会；</w:t>
      </w:r>
    </w:p>
    <w:p w14:paraId="5BFC2E0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（6）依据《基金合同》及有关法律规定监督基金托管人，如认为基金托管人违反了《基金合同》及国家有关法律规定，应呈报中国证监会和其他监管部门，并采取必要措施保护基金投资者的利益；</w:t>
      </w:r>
    </w:p>
    <w:p w14:paraId="747EBC7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（7）在基金托管人更换时，提名新的基金托管人；</w:t>
      </w:r>
    </w:p>
    <w:p w14:paraId="3D1075E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（8）选择、更换基金销售机构，对基金销售机构的相关行为进行监督和处理；</w:t>
      </w:r>
    </w:p>
    <w:p w14:paraId="3B88B92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 xml:space="preserve">（9）担任或委托其他符合条件的机构担任基金登记机构办理基金登记业务并获得《基金合同》规定的费用； </w:t>
      </w:r>
    </w:p>
    <w:p w14:paraId="0734B00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（10）依据《基金合同》及有关法律规定决定基金收益的分配方案；</w:t>
      </w:r>
      <w:r>
        <w:rPr>
          <w:rFonts w:ascii="宋体" w:hAnsi="宋体" w:hint="eastAsia"/>
          <w:sz w:val="24"/>
        </w:rPr>
        <w:tab/>
      </w:r>
    </w:p>
    <w:p w14:paraId="0B524E6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 xml:space="preserve">（11）在《基金合同》约定的范围内，拒绝或暂停受理申购、赎回或转换申请； </w:t>
      </w:r>
    </w:p>
    <w:p w14:paraId="6F97301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（12）依照法律法规为基金的利益对被投资公司行使股东权利，为基金的利益行使因基金财产投资于证券所产生的权利；</w:t>
      </w:r>
      <w:r>
        <w:rPr>
          <w:rFonts w:ascii="宋体" w:hAnsi="宋体" w:hint="eastAsia"/>
          <w:sz w:val="24"/>
        </w:rPr>
        <w:tab/>
      </w:r>
    </w:p>
    <w:p w14:paraId="161CDEA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 xml:space="preserve">（13）在法律法规允许的前提下，为基金的利益依法为基金进行融资； </w:t>
      </w:r>
    </w:p>
    <w:p w14:paraId="6C96E06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（14）以基金管理人的名义，代表基金份额持有人的利益行使诉讼权利或者实施其他法律行为；</w:t>
      </w:r>
      <w:r>
        <w:rPr>
          <w:rFonts w:ascii="宋体" w:hAnsi="宋体" w:hint="eastAsia"/>
          <w:sz w:val="24"/>
        </w:rPr>
        <w:tab/>
      </w:r>
    </w:p>
    <w:p w14:paraId="732C5FB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（15）选择、更换律师事务所、会计师事务所、证券经纪商、期货经纪机构</w:t>
      </w:r>
      <w:r>
        <w:rPr>
          <w:rFonts w:ascii="宋体" w:hAnsi="宋体" w:hint="eastAsia"/>
          <w:sz w:val="24"/>
        </w:rPr>
        <w:lastRenderedPageBreak/>
        <w:t>或其他为基金提供服务的外部机构，并与选择的证券经纪商签订相关协议，就证券经纪商应履行的相关交易结算和异常交易监控等职责进行约定；</w:t>
      </w:r>
      <w:r>
        <w:rPr>
          <w:rFonts w:ascii="宋体" w:hAnsi="宋体" w:hint="eastAsia"/>
          <w:sz w:val="24"/>
        </w:rPr>
        <w:tab/>
      </w:r>
    </w:p>
    <w:p w14:paraId="08607FE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（16）在符合有关法律、法规的前提下，制订和调整有关基金认购、申购、赎回、转换、定期定额投资和</w:t>
      </w:r>
      <w:proofErr w:type="gramStart"/>
      <w:r>
        <w:rPr>
          <w:rFonts w:ascii="宋体" w:hAnsi="宋体" w:hint="eastAsia"/>
          <w:sz w:val="24"/>
        </w:rPr>
        <w:t>非交易</w:t>
      </w:r>
      <w:proofErr w:type="gramEnd"/>
      <w:r>
        <w:rPr>
          <w:rFonts w:ascii="宋体" w:hAnsi="宋体" w:hint="eastAsia"/>
          <w:sz w:val="24"/>
        </w:rPr>
        <w:t>过户的业务规则；</w:t>
      </w:r>
    </w:p>
    <w:p w14:paraId="79171F4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（17）法律法规及中国证监会规定的和《基金合同》约定的其他权利。</w:t>
      </w:r>
    </w:p>
    <w:p w14:paraId="0717AB4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2、基金管理人的义务</w:t>
      </w:r>
    </w:p>
    <w:p w14:paraId="32129D8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根据《基金法》、《运作办法》及其他有关规定，基金管理人的义务包括但不限于：</w:t>
      </w:r>
    </w:p>
    <w:p w14:paraId="0F3242F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（1）依法募集资金，办理或者委托经中国证监会认定的其他机构代为办理基金份额的发售、申购、赎回和登记事宜；</w:t>
      </w:r>
    </w:p>
    <w:p w14:paraId="164018C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（2）办理基金备案手续；</w:t>
      </w:r>
    </w:p>
    <w:p w14:paraId="34029D3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（3）自《基金合同》生效之日起,以诚实信用、谨慎勤勉的原则管理和运用基金财产；</w:t>
      </w:r>
    </w:p>
    <w:p w14:paraId="6355756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（4）配备足够的具有专业资格的人员进行基金投资分析、决策，以专业化的经营方式管理和运作基金财产；</w:t>
      </w:r>
    </w:p>
    <w:p w14:paraId="608511D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（5）建立健全内部风险控制、监察与稽核、财务管理及人事管理等制度，保证所管理的基金财产和基金管理人的财产相互独立，对所管理的不同基金分别管理，分别记账，进行证券投资；</w:t>
      </w:r>
    </w:p>
    <w:p w14:paraId="6C0AF5E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（6）除依据《基金法》、《基金合同》及其他有关规定外,不得利用基金财产为自己及任何第三人谋取利益，不得委托第三人运作基金财产；</w:t>
      </w:r>
    </w:p>
    <w:p w14:paraId="7B891FC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（7）依法接受基金托管人的监督；</w:t>
      </w:r>
    </w:p>
    <w:p w14:paraId="5694BB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（8）采取适当合理的措施使计算基金份额认购、申购、赎回和注销价格的方法符合《基金合同》等法律文件的规定，按有关规定计算并公告基金净值信息，确定基金份额申购、赎回的价格；</w:t>
      </w:r>
    </w:p>
    <w:p w14:paraId="22F8958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（9）进行基金会计核算并编制基金财务会计报告；</w:t>
      </w:r>
    </w:p>
    <w:p w14:paraId="358E5B3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（10）编制季度报告、中期报告和年度报告；</w:t>
      </w:r>
    </w:p>
    <w:p w14:paraId="314E967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（11）严格按照《基金法》、《基金合同》及其他有关规定，履行信息披露及报告义务；</w:t>
      </w:r>
    </w:p>
    <w:p w14:paraId="2EEF174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（12）保守基金商业秘密，不泄露基金投资计划、投资意向等。除《基金法》、《基金合同》及其他有关规定另有规定外，在基金信息公开披露前应予保密，不</w:t>
      </w:r>
      <w:r>
        <w:rPr>
          <w:rFonts w:ascii="宋体" w:hAnsi="宋体" w:hint="eastAsia"/>
          <w:sz w:val="24"/>
        </w:rPr>
        <w:lastRenderedPageBreak/>
        <w:t>得向他人泄露，向审计、法律等外部专业顾问提供必要信息的情况除外；</w:t>
      </w:r>
    </w:p>
    <w:p w14:paraId="255C62D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（13）按《基金合同》的约定确定基金收益分配方案，及时向基金份额持有人分配基金收益；</w:t>
      </w:r>
    </w:p>
    <w:p w14:paraId="6448DBD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（14）按规定受理申购与赎回申请，及时、足额支付赎回款项；</w:t>
      </w:r>
    </w:p>
    <w:p w14:paraId="5A2601F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（15）依据《基金法》、《基金合同》及其他有关规定召集基金份额持有人大会或配合基金托管人、基金份额持有人依法召集基金份额持有人大会；</w:t>
      </w:r>
    </w:p>
    <w:p w14:paraId="7F25880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（16）按规定保存基金财产管理业务活动的会计账册、报表、记录和其他相关资料不低于法律法规规定的最低期限；</w:t>
      </w:r>
    </w:p>
    <w:p w14:paraId="5DDFD8E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F90A22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（18）组织并参加基金财产清算小组，参与基金财产的保管、清理、估价、变现和分配；</w:t>
      </w:r>
    </w:p>
    <w:p w14:paraId="1AA8BD2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（19）面临解散、依法被撤销或者被依法宣告破产时，及时报告中国证监会并通知基金托管人；</w:t>
      </w:r>
    </w:p>
    <w:p w14:paraId="566C7F9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（20）因违反《基金合同》导致基金财产的损失或损害基金份额持有人合法权益时，应当承担赔偿责任，其赔偿责任不因其退任而免除；</w:t>
      </w:r>
    </w:p>
    <w:p w14:paraId="1B68A81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（21）监督基金托管人按法律法规和《基金合同》规定履行自己的义务，基金托管人违反《基金合同》造成基金财产损失时，基金管理人应为基金份额持有人利益向基金托管人追偿；</w:t>
      </w:r>
    </w:p>
    <w:p w14:paraId="19045B9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（22）当基金管理人将其义务委托第三方处理时，应当对第三方处理有关基金事务的行为承担责任；</w:t>
      </w:r>
    </w:p>
    <w:p w14:paraId="573A40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（23）以基金管理人名义，代表基金份额持有人利益行使诉讼权利或实施其他法律行为；</w:t>
      </w:r>
      <w:r>
        <w:rPr>
          <w:rFonts w:ascii="宋体" w:hAnsi="宋体" w:hint="eastAsia"/>
          <w:sz w:val="24"/>
        </w:rPr>
        <w:tab/>
      </w:r>
    </w:p>
    <w:p w14:paraId="70DA20E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（24）基金管理人在募集期间未能达到基金的备案条件，《基金合同》不能生效，基金管理人承担全部募集费用，将已募集资金并加计银行同期活期存款利息在基金募集期结束后30日内退还基金认购人；</w:t>
      </w:r>
    </w:p>
    <w:p w14:paraId="7B2D6FC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（25）执行生效的基金份额持有人大会的决议；</w:t>
      </w:r>
    </w:p>
    <w:p w14:paraId="1926C75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（26）建立并保存基金份额持有人名册；</w:t>
      </w:r>
    </w:p>
    <w:p w14:paraId="7FBA338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（27）法律法规及中国证监会规定的和《基金合同》约定的其他义务。</w:t>
      </w:r>
    </w:p>
    <w:p w14:paraId="2558144B"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3</w:t>
      </w:r>
      <w:r>
        <w:rPr>
          <w:rFonts w:ascii="宋体" w:hAnsi="宋体" w:hint="eastAsia"/>
          <w:sz w:val="24"/>
        </w:rPr>
        <w:t>、基金托管人的权利</w:t>
      </w:r>
    </w:p>
    <w:p w14:paraId="3F0F4F1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根据《基金法》、《运作办法》及其他有关规定，基金托管人的权利包括但不限于：</w:t>
      </w:r>
    </w:p>
    <w:p w14:paraId="495A415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（1）自《基金合同》生效之日起，依法</w:t>
      </w:r>
      <w:proofErr w:type="gramStart"/>
      <w:r>
        <w:rPr>
          <w:rFonts w:ascii="宋体" w:hAnsi="宋体" w:hint="eastAsia"/>
          <w:sz w:val="24"/>
        </w:rPr>
        <w:t>律法规</w:t>
      </w:r>
      <w:proofErr w:type="gramEnd"/>
      <w:r>
        <w:rPr>
          <w:rFonts w:ascii="宋体" w:hAnsi="宋体" w:hint="eastAsia"/>
          <w:sz w:val="24"/>
        </w:rPr>
        <w:t>和《基金合同》的规定安全保管基金财产；</w:t>
      </w:r>
    </w:p>
    <w:p w14:paraId="268A20A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（2）依《基金合同》约定获得基金托管费以及法律法规规定或监管部门批准的其他费用；</w:t>
      </w:r>
    </w:p>
    <w:p w14:paraId="1C13129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2BCEA9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（4）根据相关市场规则，为基金开设资金账户、证券账户、期货结算账户等投资所需账户、为基金办理证券交易资金清算；</w:t>
      </w:r>
    </w:p>
    <w:p w14:paraId="44819F5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（5）提议召开或召集基金份额持有人大会；</w:t>
      </w:r>
    </w:p>
    <w:p w14:paraId="3BCAB4A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（6）在基金管理人更换时，提名新的基金管理人；</w:t>
      </w:r>
    </w:p>
    <w:p w14:paraId="6A825C8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（7）法律法规及中国证监会规定的和《基金合同》约定的其他权利。</w:t>
      </w:r>
    </w:p>
    <w:p w14:paraId="2623FD9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4、基金托管人的义务</w:t>
      </w:r>
    </w:p>
    <w:p w14:paraId="4DC5125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根据《基金法》、《运作办法》及其他有关规定，基金托管人的义务包括但不限于：</w:t>
      </w:r>
    </w:p>
    <w:p w14:paraId="1C5DE7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（1）以诚实信用、勤勉尽责的原则持有并安全保管基金财产；</w:t>
      </w:r>
    </w:p>
    <w:p w14:paraId="59956CC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（2）设立专门的基金托管部门，具有符合要求的营业场所，配备足够的、合格的熟悉基金托管业务的专职人员，负责基金财产托管事宜；</w:t>
      </w:r>
    </w:p>
    <w:p w14:paraId="547A86B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7B8F5A2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（4）除依据《基金法》、《基金合同》及其他有关规定外，不得利用基金财产为自己及任何第三人谋取利益，不得委托第三人托管基金财产；</w:t>
      </w:r>
    </w:p>
    <w:p w14:paraId="45822FB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（5）保管由基金管理人代表基金签订的与基金有关的重大合同及有关凭证；</w:t>
      </w:r>
    </w:p>
    <w:p w14:paraId="2E6D0CB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（6）按规定开设基金财产的资金账户、证券账户和期货结算账户等投资所需账户,按照《基金合同》的约定，根据基金管理人的投资指令，及时办理清算、</w:t>
      </w:r>
      <w:r>
        <w:rPr>
          <w:rFonts w:ascii="宋体" w:hAnsi="宋体" w:hint="eastAsia"/>
          <w:sz w:val="24"/>
        </w:rPr>
        <w:lastRenderedPageBreak/>
        <w:t>交割事宜；</w:t>
      </w:r>
    </w:p>
    <w:p w14:paraId="288EB4A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（7）保守基金商业秘密，除《基金法》、《基金合同》及其他有关规定另有规定外，在基金信息公开披露前予以保密，不得向他人泄露，向审计、法律等外部专业顾问提供必要信息的情况除外；</w:t>
      </w:r>
    </w:p>
    <w:p w14:paraId="05B47C0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（8）复核、审查基金管理人计算的基金资产净值、基金份额净值、基金份额申购、赎回价格；</w:t>
      </w:r>
    </w:p>
    <w:p w14:paraId="7805DAF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（9）办理与基金托管业务活动有关的信息披露事项；</w:t>
      </w:r>
    </w:p>
    <w:p w14:paraId="13AE6D8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25ACC39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（11）保存基金托管业务活动的记录、账册、报表和其他相关资料不低于法律法规规定的最低期限；</w:t>
      </w:r>
    </w:p>
    <w:p w14:paraId="6FD9234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（12）建立并保存基金份额持有人名册；</w:t>
      </w:r>
    </w:p>
    <w:p w14:paraId="782AE19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（13）按规定制作相关账册并与基金管理人核对；</w:t>
      </w:r>
    </w:p>
    <w:p w14:paraId="201E0BE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（14）依据基金管理人的指令或有关规定向基金份额持有人支付基金收益和赎回款项；</w:t>
      </w:r>
    </w:p>
    <w:p w14:paraId="3BBB0B2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（15）依据《基金法》、《基金合同》及其他有关规定，召集基金份额持有人大会或配合基金份额持有人依法召集基金份额持有人大会；</w:t>
      </w:r>
    </w:p>
    <w:p w14:paraId="11A7FBD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（16）按照法律法规和《基金合同》的规定监督基金管理人的投资运作；</w:t>
      </w:r>
    </w:p>
    <w:p w14:paraId="74760A3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（17）参加基金财产清算小组，参与基金财产的保管、清理、估价、变现和分配；</w:t>
      </w:r>
    </w:p>
    <w:p w14:paraId="6F723A3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（18）面临解散、依法被撤销或者被依法宣告破产时，及时报告中国证监会和银行监管机构，并通知基金管理人；</w:t>
      </w:r>
    </w:p>
    <w:p w14:paraId="0C303B3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（19）因违反《基金合同》导致基金财产损失时，应承担赔偿责任，其赔偿责任不因其退任而免除；</w:t>
      </w:r>
    </w:p>
    <w:p w14:paraId="315C110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（20）按规定监督基金管理人按法律法规和《基金合同》规定履行自己的义务，基金管理人因违反《基金合同》造成基金财产损失时，应为基金份额持有人利益向基金管理人追偿；</w:t>
      </w:r>
    </w:p>
    <w:p w14:paraId="3406434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（21）执行生效的基金份额持有人大会的决议；</w:t>
      </w:r>
    </w:p>
    <w:p w14:paraId="6F4F35A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（22）法律法规及中国证监会规定的和《基金合同》约定的其他义务。</w:t>
      </w:r>
    </w:p>
    <w:p w14:paraId="4CC96EF4" w14:textId="77777777"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、基金份额持有人的权利</w:t>
      </w:r>
    </w:p>
    <w:p w14:paraId="66B25E1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根据《基金法》、《运作办法》及其他有关规定，基金份额持有人的权利包括但不限于：</w:t>
      </w:r>
    </w:p>
    <w:p w14:paraId="63D0247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（1）分享基金财产收益；</w:t>
      </w:r>
    </w:p>
    <w:p w14:paraId="4314DFF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（2）参与分配清算后的剩余基金财产；</w:t>
      </w:r>
    </w:p>
    <w:p w14:paraId="12E02F8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（3）依法并按照基金合同和招募说明书的规定转让或者申请赎回其持有的基金份额；</w:t>
      </w:r>
    </w:p>
    <w:p w14:paraId="3D8BA44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（4）按照规定要求召开基金份额持有人大会或者召集基金份额持有人大会；</w:t>
      </w:r>
    </w:p>
    <w:p w14:paraId="312B3DD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（5）出席或者委派代表出席基金份额持有人大会，对基金份额持有人大会审议事项行使表决权；</w:t>
      </w:r>
    </w:p>
    <w:p w14:paraId="62F15F5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（6）查阅或者复制公开披露的基金信息资料；</w:t>
      </w:r>
    </w:p>
    <w:p w14:paraId="60E26EF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（7）监督基金管理人的投资运作；</w:t>
      </w:r>
    </w:p>
    <w:p w14:paraId="69C7803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（8）对基金管理人、基金托管人、基金服务机构损害其合法权益的行为依法提起诉讼或仲裁；</w:t>
      </w:r>
    </w:p>
    <w:p w14:paraId="258FE98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（9）法律法规及中国证监会规定的和《基金合同》约定的其他权利。</w:t>
      </w:r>
    </w:p>
    <w:p w14:paraId="1CFE7E1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6、基金份额持有人的义务</w:t>
      </w:r>
    </w:p>
    <w:p w14:paraId="6A380BF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根据《基金法》、《运作办法》及其他有关规定，基金份额持有人的义务包括但不限于：</w:t>
      </w:r>
    </w:p>
    <w:p w14:paraId="0330449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（1）认真阅读并遵守《基金合同》、《招募说明书》等信息披露文件；</w:t>
      </w:r>
    </w:p>
    <w:p w14:paraId="6DC36B3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（2）了解所投资基金产品，了解自身风险承受能力，自主判断基金的投资价值，自主做出投资决策，自行承担投资风险；</w:t>
      </w:r>
    </w:p>
    <w:p w14:paraId="7CF4A5B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（3）关注基金信息披露，及时行使权利和履行义务；</w:t>
      </w:r>
    </w:p>
    <w:p w14:paraId="50878AE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（4）缴纳基金认购、申购款项及法律法规和《基金合同》所规定的费用，并主动查询交易申请的确认情况，妥善行使合法权利；</w:t>
      </w:r>
    </w:p>
    <w:p w14:paraId="7AE84C6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（5）在其持有的基金份额范围内，承担基金亏损或者《基金合同》终止的有限责任；</w:t>
      </w:r>
    </w:p>
    <w:p w14:paraId="3CC8FE9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（6）不从事任何有损基金及其他《基金合同》当事人合法权益的活动；</w:t>
      </w:r>
    </w:p>
    <w:p w14:paraId="05DCA12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（7）执行生效的基金份额持有人大会的决议；</w:t>
      </w:r>
    </w:p>
    <w:p w14:paraId="7C203AD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（8）返还在基金交易过程中因任何原因获得的不当得利；</w:t>
      </w:r>
    </w:p>
    <w:p w14:paraId="7B7F830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（9）遵守基金管理人、基金托管人、销售机构和登记机构的相关交易及业务规则；</w:t>
      </w:r>
    </w:p>
    <w:p w14:paraId="65D3AEA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（10）提供基金管理人和监管机构依法要求提供的信息，以及不时的更新和补充，并保证其真实、准确、完整；</w:t>
      </w:r>
    </w:p>
    <w:p w14:paraId="04DF9B7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（11）法律法规及中国证监会规定的和《基金合同》约定的其他义务。</w:t>
      </w:r>
    </w:p>
    <w:p w14:paraId="115C5F41"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（二）基金份额持有人大会召集、议事及表决的程序和规则</w:t>
      </w:r>
    </w:p>
    <w:p w14:paraId="1FBF027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由基金份额持有人组成，基金份额持有人的合法授权代表有权代表基金份额持有人出席会议并表决。基金份额持有人持有的每一基金份额拥有平等的投票权。若将来法律法规对基金份额持有人大会另有规定的，以届时有效的法律法规为准。</w:t>
      </w:r>
    </w:p>
    <w:p w14:paraId="7DCECF3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本基金份额持有人大会不设日常机构。</w:t>
      </w:r>
    </w:p>
    <w:p w14:paraId="01EF98F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1、召开事由</w:t>
      </w:r>
    </w:p>
    <w:p w14:paraId="5FCB1F0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（1）当出现或需要决定下列事由之一的，应当召开基金份额持有人大会，法律法规、《基金合同》或中国证监会另有规定的除外：</w:t>
      </w:r>
    </w:p>
    <w:p w14:paraId="0E733D3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1）终止《基金合同》；</w:t>
      </w:r>
    </w:p>
    <w:p w14:paraId="75FF813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2）更换基金管理人；</w:t>
      </w:r>
    </w:p>
    <w:p w14:paraId="660D74A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3）更换基金托管人；</w:t>
      </w:r>
    </w:p>
    <w:p w14:paraId="2D40D16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4）转换基金运作方式；</w:t>
      </w:r>
    </w:p>
    <w:p w14:paraId="2AAE591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5）调整基金管理人、基金托管人的报酬标准或提高销售服务费；</w:t>
      </w:r>
    </w:p>
    <w:p w14:paraId="7D9CF78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6）变更基金类别；</w:t>
      </w:r>
    </w:p>
    <w:p w14:paraId="09D037D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7）本基金与其他基金的合并；</w:t>
      </w:r>
    </w:p>
    <w:p w14:paraId="13FB895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8）变更基金投资目标、范围或策略；</w:t>
      </w:r>
    </w:p>
    <w:p w14:paraId="33D01AE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9）变更基金份额持有人大会程序；</w:t>
      </w:r>
    </w:p>
    <w:p w14:paraId="51A5036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10）基金管理人或基金托管人要求召开基金份额持有人大会；</w:t>
      </w:r>
    </w:p>
    <w:p w14:paraId="427F9CE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11）单独或合计持有本基金总份额10%以上（含10%）基金份额的基金份额持有人（以基金管理人收到提议当日的基金份额计算，下同）就同一事项书面要求召开基金份额持有人大会；</w:t>
      </w:r>
    </w:p>
    <w:p w14:paraId="34B3C6C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12）对基金合同当事人权利和义务产生重大影响的其他事项；</w:t>
      </w:r>
    </w:p>
    <w:p w14:paraId="6FDE81B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13）法律法规、《基金合同》或中国证监会规定的其他应当召开基金份额持有人大会的事项。</w:t>
      </w:r>
    </w:p>
    <w:p w14:paraId="4623EC4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（2）在不违反法律法规规定和《基金合同》约定且对现有基金份额持有人利益无实质性不利影响的前提下，以下情况可由基金管理人和基金托管人协商后修改，无需召开基金份额持有人大会：</w:t>
      </w:r>
    </w:p>
    <w:p w14:paraId="6B2C37A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1）调低除基金管理费、基金托管费以外的其他应由本基金或基金份额持有人承担的费用；</w:t>
      </w:r>
    </w:p>
    <w:p w14:paraId="1A6110E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2）法律法规要求增加的基金费用的收取；</w:t>
      </w:r>
    </w:p>
    <w:p w14:paraId="18D1A5E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3）在法律法规和《基金合同》规定的范围内调整本基金的申购费率、调低赎回费率、调低销售服务费或在对现有基金份额持有人利益无实质性不利影响的前提下变更或增加收费方式；</w:t>
      </w:r>
    </w:p>
    <w:p w14:paraId="3DD6C67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proofErr w:type="gramStart"/>
      <w:r>
        <w:rPr>
          <w:rFonts w:ascii="宋体" w:hAnsi="宋体" w:hint="eastAsia"/>
          <w:sz w:val="24"/>
        </w:rPr>
        <w:t>因相应</w:t>
      </w:r>
      <w:proofErr w:type="gramEnd"/>
      <w:r>
        <w:rPr>
          <w:rFonts w:ascii="宋体" w:hAnsi="宋体" w:hint="eastAsia"/>
          <w:sz w:val="24"/>
        </w:rPr>
        <w:t>的法律法规、登记机构的相关业务规则发生变动而应当对《基金合同》进行修改；</w:t>
      </w:r>
    </w:p>
    <w:p w14:paraId="7389AA5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5）对《基金合同》的修改对基金份额持有人利益无实质性不利影响或修改不涉及《基金合同》当事人权利义务关系发生重大变化；</w:t>
      </w:r>
    </w:p>
    <w:p w14:paraId="03597C6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6）基金推出新业务或服务；</w:t>
      </w:r>
    </w:p>
    <w:p w14:paraId="1B06C50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7）增加基金份额类别或调整本基金份额类别的设置；</w:t>
      </w:r>
    </w:p>
    <w:p w14:paraId="6DC255B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8）基金管理人、登记机构、销售机构调整有关基金认购、申购、赎回、转换、</w:t>
      </w:r>
      <w:proofErr w:type="gramStart"/>
      <w:r>
        <w:rPr>
          <w:rFonts w:ascii="宋体" w:hAnsi="宋体" w:hint="eastAsia"/>
          <w:sz w:val="24"/>
        </w:rPr>
        <w:t>非交易</w:t>
      </w:r>
      <w:proofErr w:type="gramEnd"/>
      <w:r>
        <w:rPr>
          <w:rFonts w:ascii="宋体" w:hAnsi="宋体" w:hint="eastAsia"/>
          <w:sz w:val="24"/>
        </w:rPr>
        <w:t>过户、转托管等业务的规则；</w:t>
      </w:r>
    </w:p>
    <w:p w14:paraId="535E5C9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9）按照法律法规和《基金合同》规定不需召开基金份额持有人大会的其他情形。</w:t>
      </w:r>
    </w:p>
    <w:p w14:paraId="6611E47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2、会议召集人及召集方式</w:t>
      </w:r>
    </w:p>
    <w:p w14:paraId="577789F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（1）除法律法规规定或《基金合同》另有约定外，基金份额持有人大会由基金管理人召集；</w:t>
      </w:r>
    </w:p>
    <w:p w14:paraId="1FF5B56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（2）基金管理人未按规定召集或不能召集时，由基金托管人召集；</w:t>
      </w:r>
    </w:p>
    <w:p w14:paraId="303D325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36C1327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（4）代表基金份额10%以上（含10%）的基金份额持有人就同一事项书面要</w:t>
      </w:r>
      <w:r>
        <w:rPr>
          <w:rFonts w:ascii="宋体" w:hAnsi="宋体" w:hint="eastAsia"/>
          <w:sz w:val="24"/>
        </w:rPr>
        <w:lastRenderedPageBreak/>
        <w:t>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2CB9A03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68439B5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（6）基金份额持有人会议的召集人负责选择确定开会时间、地点、方式和权益登记日。</w:t>
      </w:r>
    </w:p>
    <w:p w14:paraId="04AC52F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3、召开基金份额持有人大会的通知时间、通知内容、通知方式</w:t>
      </w:r>
    </w:p>
    <w:p w14:paraId="61F8BF0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（1）召开基金份额持有人大会，召集人应于会议召开前30日，在</w:t>
      </w:r>
      <w:r>
        <w:rPr>
          <w:rFonts w:ascii="宋体" w:hAnsi="宋体"/>
          <w:sz w:val="24"/>
        </w:rPr>
        <w:t>规定媒介</w:t>
      </w:r>
      <w:r>
        <w:rPr>
          <w:rFonts w:ascii="宋体" w:hAnsi="宋体" w:hint="eastAsia"/>
          <w:sz w:val="24"/>
        </w:rPr>
        <w:t>公告。基金份额持有人大会通知应至少载明以下内容：</w:t>
      </w:r>
    </w:p>
    <w:p w14:paraId="1EC63B5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1）会议召开的时间、地点和会议形式；</w:t>
      </w:r>
    </w:p>
    <w:p w14:paraId="35DEC4A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2）会议</w:t>
      </w:r>
      <w:proofErr w:type="gramStart"/>
      <w:r>
        <w:rPr>
          <w:rFonts w:ascii="宋体" w:hAnsi="宋体" w:hint="eastAsia"/>
          <w:sz w:val="24"/>
        </w:rPr>
        <w:t>拟审议</w:t>
      </w:r>
      <w:proofErr w:type="gramEnd"/>
      <w:r>
        <w:rPr>
          <w:rFonts w:ascii="宋体" w:hAnsi="宋体" w:hint="eastAsia"/>
          <w:sz w:val="24"/>
        </w:rPr>
        <w:t>的事项、议事程序和表决方式；</w:t>
      </w:r>
    </w:p>
    <w:p w14:paraId="3E2C25C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3）有权出席基金份额持有人大会的基金份额持有人的权益登记日；</w:t>
      </w:r>
    </w:p>
    <w:p w14:paraId="3EB1D93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4）授权委托证明的内容要求（包括但不限于代理人身份，代理权限和代理有效期限等）、授权方式（包括但不限于纸质授权、电话授权、短信授权及网络授权方式等）、送达时间和地点;</w:t>
      </w:r>
    </w:p>
    <w:p w14:paraId="47E8283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5）会务常设联系人姓名及联系电话；</w:t>
      </w:r>
    </w:p>
    <w:p w14:paraId="305AC5A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6）出席会议者必须准备的文件和必须履行的手续；</w:t>
      </w:r>
    </w:p>
    <w:p w14:paraId="255C858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7）召集人需要通知的其他事项。</w:t>
      </w:r>
    </w:p>
    <w:p w14:paraId="697C912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采取通讯开会方式并进行表决的情况下，由会议召集人决定在会议通知中说明本次基金份额持有人大会所采取的具体通讯方式及投票方式（包括但不限于以纸质表决票投票、网络投票及短信投票等）、委托的公证机关及其联系方</w:t>
      </w:r>
      <w:r>
        <w:rPr>
          <w:rFonts w:ascii="宋体" w:hAnsi="宋体" w:hint="eastAsia"/>
          <w:sz w:val="24"/>
        </w:rPr>
        <w:lastRenderedPageBreak/>
        <w:t>式和联系人、表决意见寄交的截止时间和收取方式。</w:t>
      </w:r>
    </w:p>
    <w:p w14:paraId="6AD91C3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宋体" w:hAnsi="宋体" w:hint="eastAsia"/>
          <w:sz w:val="24"/>
        </w:rPr>
        <w:t>拒不派</w:t>
      </w:r>
      <w:proofErr w:type="gramEnd"/>
      <w:r>
        <w:rPr>
          <w:rFonts w:ascii="宋体" w:hAnsi="宋体" w:hint="eastAsia"/>
          <w:sz w:val="24"/>
        </w:rPr>
        <w:t>代表对表决意见的计票进行监督的，不影响表决意见的计票效力。</w:t>
      </w:r>
    </w:p>
    <w:p w14:paraId="261D74A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4、基金份额持有人出席会议的方式</w:t>
      </w:r>
    </w:p>
    <w:p w14:paraId="531012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基金份额持有人大会可通过现场开会方式、通讯开会方式或法律法规、监管机构允许的其他方式召开，会议的召开方式由会议召集人确定。</w:t>
      </w:r>
    </w:p>
    <w:p w14:paraId="2AB361D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3EBD817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071BD46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51B0FD3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通讯开会。通讯开会系指基金份额持有人将其对表决事项的投票以书面形式或会议通知载明的其他方式在表决截止日以前送达至召集人指定的地址。通讯开会应以书面方式或会议通知载明的其他方式进行表决。</w:t>
      </w:r>
    </w:p>
    <w:p w14:paraId="0DEDFEF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在同时符合以下条件时，通讯开会的方式视为有效：</w:t>
      </w:r>
    </w:p>
    <w:p w14:paraId="7E5C26F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1）会议召集人按《基金合同》约定公布会议通知后，在2个工作日内连续公布相关提示性公告；</w:t>
      </w:r>
    </w:p>
    <w:p w14:paraId="304FE9F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04D045F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p>
    <w:p w14:paraId="45199B6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注册机构记录相符；</w:t>
      </w:r>
    </w:p>
    <w:p w14:paraId="026C9E5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在不与法律法规冲突的前提下，经会议通知载明，基金份额持有人大会可通过网络、电话或其他方式召开，基金份额持有人可以采用书面、网络、电话、短信或其他方式进行表决，具体方式由会议召集人确定并在会议通知中列明。</w:t>
      </w:r>
    </w:p>
    <w:p w14:paraId="1C03E94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（4）在不与法律法规冲突的前提下，经会议通知载明，基金份额持有人授权他人代为出席会议并表决的，授权方式可以采用书面、网络、电话、短信或其他方式，具体方式在会议通知中列明。</w:t>
      </w:r>
    </w:p>
    <w:p w14:paraId="5D18B83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5、议事内容与程序</w:t>
      </w:r>
    </w:p>
    <w:p w14:paraId="1860C12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（1）议事内容及提案权</w:t>
      </w:r>
    </w:p>
    <w:p w14:paraId="52DF73A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6163954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基金份额持有人大会的召集人发出召集会议的通知后，对原有提案的修改应</w:t>
      </w:r>
      <w:r>
        <w:rPr>
          <w:rFonts w:ascii="宋体" w:hAnsi="宋体" w:hint="eastAsia"/>
          <w:sz w:val="24"/>
        </w:rPr>
        <w:lastRenderedPageBreak/>
        <w:t>当在基金份额持有人大会召开前及时公告。</w:t>
      </w:r>
    </w:p>
    <w:p w14:paraId="4462513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基金份额持有人大会不得对未事先公告的议事内容进行表决。</w:t>
      </w:r>
    </w:p>
    <w:p w14:paraId="0AD3241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（2）议事程序</w:t>
      </w:r>
    </w:p>
    <w:p w14:paraId="611D6B0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1）现场开会</w:t>
      </w:r>
    </w:p>
    <w:p w14:paraId="409F434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w:t>
      </w:r>
      <w:proofErr w:type="gramStart"/>
      <w:r>
        <w:rPr>
          <w:rFonts w:ascii="宋体" w:hAnsi="宋体" w:hint="eastAsia"/>
          <w:sz w:val="24"/>
        </w:rPr>
        <w:t>作出</w:t>
      </w:r>
      <w:proofErr w:type="gramEnd"/>
      <w:r>
        <w:rPr>
          <w:rFonts w:ascii="宋体" w:hAnsi="宋体" w:hint="eastAsia"/>
          <w:sz w:val="24"/>
        </w:rPr>
        <w:t>的决议的效力。</w:t>
      </w:r>
    </w:p>
    <w:p w14:paraId="38E5F2C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会议召集人应当制作出席会议人员的签名册。签名</w:t>
      </w:r>
      <w:proofErr w:type="gramStart"/>
      <w:r>
        <w:rPr>
          <w:rFonts w:ascii="宋体" w:hAnsi="宋体" w:hint="eastAsia"/>
          <w:sz w:val="24"/>
        </w:rPr>
        <w:t>册</w:t>
      </w:r>
      <w:proofErr w:type="gramEnd"/>
      <w:r>
        <w:rPr>
          <w:rFonts w:ascii="宋体" w:hAnsi="宋体" w:hint="eastAsia"/>
          <w:sz w:val="24"/>
        </w:rPr>
        <w:t>载明参加会议人员姓名（或单位名称）、身份证明文件号码、持有或代表有表决权的基金份额、委托人姓名（或单位名称）和联系方式等事项。</w:t>
      </w:r>
    </w:p>
    <w:p w14:paraId="689FCEA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2）通讯开会</w:t>
      </w:r>
    </w:p>
    <w:p w14:paraId="55C6C68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在通讯开会的情况下，首先由召集人提前30日公布提案，在所通知的表决截止日期后2个工作日内在公证机关监督下由召集人统计全部有效表决，在公证机关监督下形成决议。</w:t>
      </w:r>
    </w:p>
    <w:p w14:paraId="45BA692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6、表决</w:t>
      </w:r>
    </w:p>
    <w:p w14:paraId="1B5FF32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基金份额持有人所持每份基金份额有一票表决权。</w:t>
      </w:r>
    </w:p>
    <w:p w14:paraId="4AFFE2A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基金份额持有人大会决议分为一般决议和特别决议：</w:t>
      </w:r>
    </w:p>
    <w:p w14:paraId="55A7F9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282C460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以特别决议通过方为有效。</w:t>
      </w:r>
    </w:p>
    <w:p w14:paraId="45874C3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基金份额持有人大会采取记名方式进行投票表决。</w:t>
      </w:r>
    </w:p>
    <w:p w14:paraId="7283B35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418511B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基金份额持有人大会的各项提案或同一项提案内并列的各项议题应当分开审议、逐项表决。</w:t>
      </w:r>
    </w:p>
    <w:p w14:paraId="29064B6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7、计票</w:t>
      </w:r>
    </w:p>
    <w:p w14:paraId="7187ED7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（1）现场开会</w:t>
      </w:r>
    </w:p>
    <w:p w14:paraId="06AE8EE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宋体" w:hAnsi="宋体" w:hint="eastAsia"/>
          <w:sz w:val="24"/>
        </w:rPr>
        <w:t>或大会</w:t>
      </w:r>
      <w:proofErr w:type="gramEnd"/>
      <w:r>
        <w:rPr>
          <w:rFonts w:ascii="宋体" w:hAnsi="宋体" w:hint="eastAsia"/>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71AE150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2）监票人应当在基金份额持有人表决后立即进行清点并由大会主持人当场公布计票结果。</w:t>
      </w:r>
    </w:p>
    <w:p w14:paraId="3E6A96B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3）如果会议主持人或基金份额持有人或代理人对于提交的表决结果有怀疑，可以在宣布表决结果后立即对所投票</w:t>
      </w:r>
      <w:proofErr w:type="gramStart"/>
      <w:r>
        <w:rPr>
          <w:rFonts w:ascii="宋体" w:hAnsi="宋体" w:hint="eastAsia"/>
          <w:sz w:val="24"/>
        </w:rPr>
        <w:t>数要求</w:t>
      </w:r>
      <w:proofErr w:type="gramEnd"/>
      <w:r>
        <w:rPr>
          <w:rFonts w:ascii="宋体" w:hAnsi="宋体" w:hint="eastAsia"/>
          <w:sz w:val="24"/>
        </w:rPr>
        <w:t>进行重新清点。监票人应当进行重新清点，重新清点以一次为限。重新清点后，大会主持人应当当场公布重新清点结果。</w:t>
      </w:r>
    </w:p>
    <w:p w14:paraId="1A2417F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4）计票过程应由公证机关予以公证,基金管理人或基金托管人拒不出席大会的，不影响计票的效力。</w:t>
      </w:r>
    </w:p>
    <w:p w14:paraId="75B8F8E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（2）通讯开会</w:t>
      </w:r>
    </w:p>
    <w:p w14:paraId="5431DEB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宋体" w:hAnsi="宋体" w:hint="eastAsia"/>
          <w:sz w:val="24"/>
        </w:rPr>
        <w:t>人拒派</w:t>
      </w:r>
      <w:proofErr w:type="gramEnd"/>
      <w:r>
        <w:rPr>
          <w:rFonts w:ascii="宋体" w:hAnsi="宋体" w:hint="eastAsia"/>
          <w:sz w:val="24"/>
        </w:rPr>
        <w:t>代表对表决意见的计票进行监督的，不影响计票和表决结果。</w:t>
      </w:r>
    </w:p>
    <w:p w14:paraId="183A8EE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8、生效与公告</w:t>
      </w:r>
    </w:p>
    <w:p w14:paraId="19897ED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基金份额持有人大会的决议，召集人应当自通过之日起5日内报中国证监会</w:t>
      </w:r>
      <w:r>
        <w:rPr>
          <w:rFonts w:ascii="宋体" w:hAnsi="宋体" w:hint="eastAsia"/>
          <w:sz w:val="24"/>
        </w:rPr>
        <w:lastRenderedPageBreak/>
        <w:t>备案。</w:t>
      </w:r>
    </w:p>
    <w:p w14:paraId="4AD339F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基金份额持有人大会的决议自表决通过之日起生效。</w:t>
      </w:r>
    </w:p>
    <w:p w14:paraId="2464C13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基金份额持有人大会决议自生效之日起2日内在</w:t>
      </w:r>
      <w:r>
        <w:rPr>
          <w:rFonts w:ascii="宋体" w:hAnsi="宋体"/>
          <w:sz w:val="24"/>
        </w:rPr>
        <w:t>规定媒介</w:t>
      </w:r>
      <w:r>
        <w:rPr>
          <w:rFonts w:ascii="宋体" w:hAnsi="宋体" w:hint="eastAsia"/>
          <w:sz w:val="24"/>
        </w:rPr>
        <w:t>上公告。如果采用通讯方式进行表决，在公告基金份额持有人大会决议时，必须将公证书全文、公证机构、公证员姓名等一同公告。</w:t>
      </w:r>
    </w:p>
    <w:p w14:paraId="4854D25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基金管理人、基金托管人和基金份额持有人应当执行生效的基金份额持有人大会的决议。生效的基金份额持有人大会决议对全体基金份额持有人、基金管理人、基金托管人均有约束力。</w:t>
      </w:r>
    </w:p>
    <w:p w14:paraId="791717E4" w14:textId="77777777" w:rsidR="008A6127" w:rsidRDefault="00437D9F">
      <w:pPr>
        <w:snapToGrid w:val="0"/>
        <w:spacing w:line="360" w:lineRule="auto"/>
        <w:ind w:firstLineChars="200" w:firstLine="480"/>
        <w:rPr>
          <w:rFonts w:ascii="宋体" w:hAnsi="宋体"/>
          <w:sz w:val="24"/>
        </w:rPr>
      </w:pPr>
      <w:r>
        <w:rPr>
          <w:rFonts w:ascii="宋体" w:hAnsi="宋体"/>
          <w:sz w:val="24"/>
        </w:rPr>
        <w:t>9</w:t>
      </w:r>
      <w:r>
        <w:rPr>
          <w:rFonts w:ascii="宋体" w:hAnsi="宋体" w:hint="eastAsia"/>
          <w:sz w:val="24"/>
        </w:rPr>
        <w:t>、本部</w:t>
      </w:r>
      <w:proofErr w:type="gramStart"/>
      <w:r>
        <w:rPr>
          <w:rFonts w:ascii="宋体" w:hAnsi="宋体" w:hint="eastAsia"/>
          <w:sz w:val="24"/>
        </w:rPr>
        <w:t>分关于</w:t>
      </w:r>
      <w:proofErr w:type="gramEnd"/>
      <w:r>
        <w:rPr>
          <w:rFonts w:ascii="宋体" w:hAnsi="宋体" w:hint="eastAsia"/>
          <w:sz w:val="24"/>
        </w:rPr>
        <w:t>基金份额持有人大会召开事由、召开条件、议事程序、表决条件等规定，凡是直接引用法律法规或监管规则的部分，如将来法律法规或监管规则修改导致相关内容被取消或变更的，经与基金托管人协商一致，基金管理人提前公告后，可直接对本部分内容进行修改和调整，无需召开基金份额持有人大会审议。</w:t>
      </w:r>
    </w:p>
    <w:p w14:paraId="05FC8B6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、法律法规或监管部门对基金份额持有人大会另有规定的，从其规定。</w:t>
      </w:r>
    </w:p>
    <w:p w14:paraId="447DA957"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（三）基金收益分配原则、执行方式</w:t>
      </w:r>
    </w:p>
    <w:p w14:paraId="23D6592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1、基金收益分配原则</w:t>
      </w:r>
    </w:p>
    <w:p w14:paraId="7127123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（1）在符合有关基金分红条件的前提下，基金管理人可根据实际情况进行收益分配，若《基金合同》生效不满3个月可不进行收益分配；</w:t>
      </w:r>
    </w:p>
    <w:p w14:paraId="02F3D60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（2）本基金收益分配方式分两种：现金分红与红利再投资，投资者可选择现金红利或将现金红利自动转为相应类别的基金份额进行再投资；若投资者不选择，本基金默认的收益分配方式是现金分红；</w:t>
      </w:r>
    </w:p>
    <w:p w14:paraId="5F65930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（3）基金收益分配后各类基金份额的基金份额净值不能低于面值；即基金收益分配基准日的各类基金份额的基金份额净值减去该类别每单位基金份额收益分配金额后不能低于面值。</w:t>
      </w:r>
    </w:p>
    <w:p w14:paraId="56C6ED0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（4）由于本基金A类基金份额不收取销售服务费，而C类基金份额收取销售服务费，各类别基金份额对应的可供分配利润将有所不同；同一类别的每一基金份额享有同等分配权；</w:t>
      </w:r>
    </w:p>
    <w:p w14:paraId="28811DAF" w14:textId="2B09D06E" w:rsidR="008A6127" w:rsidRDefault="00437D9F">
      <w:pPr>
        <w:snapToGrid w:val="0"/>
        <w:spacing w:line="360" w:lineRule="auto"/>
        <w:ind w:firstLineChars="200" w:firstLine="480"/>
        <w:rPr>
          <w:rFonts w:ascii="宋体" w:hAnsi="宋体"/>
          <w:sz w:val="24"/>
        </w:rPr>
      </w:pPr>
      <w:r>
        <w:rPr>
          <w:rFonts w:ascii="宋体" w:hAnsi="宋体" w:hint="eastAsia"/>
          <w:sz w:val="24"/>
        </w:rPr>
        <w:t>（5）法律法规或监管机关另有规定的，从其规定。</w:t>
      </w:r>
    </w:p>
    <w:p w14:paraId="06F7EB0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在不违反法律法规、基金合同的约定以及对基金份额持有人利益无实质性不利影响的前提下，基金管理人可在与基金托管人协商一致并按照监管部门要求履</w:t>
      </w:r>
      <w:r>
        <w:rPr>
          <w:rFonts w:ascii="宋体" w:hAnsi="宋体" w:hint="eastAsia"/>
          <w:sz w:val="24"/>
        </w:rPr>
        <w:lastRenderedPageBreak/>
        <w:t>行适当程序后对基金收益分配原则进行调整，不需召开基金份额持有人大会，但应于变更实施日前在</w:t>
      </w:r>
      <w:r>
        <w:rPr>
          <w:rFonts w:ascii="宋体" w:hAnsi="宋体"/>
          <w:sz w:val="24"/>
        </w:rPr>
        <w:t>规定媒介</w:t>
      </w:r>
      <w:r>
        <w:rPr>
          <w:rFonts w:ascii="宋体" w:hAnsi="宋体" w:hint="eastAsia"/>
          <w:sz w:val="24"/>
        </w:rPr>
        <w:t>公告。</w:t>
      </w:r>
    </w:p>
    <w:p w14:paraId="7000DF6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2、收益分配方案</w:t>
      </w:r>
    </w:p>
    <w:p w14:paraId="6C88886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基金收益分配方案中应载明截止收益分配基准日的可供分配利润、基金收益分配对象、分配时间、分配数额及比例、分配方式等内容。</w:t>
      </w:r>
    </w:p>
    <w:p w14:paraId="4CE4D02C"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、收益分配方案的确定、公告与实施</w:t>
      </w:r>
    </w:p>
    <w:p w14:paraId="0113073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本基金收益分配方案由基金管理人拟定，并由基金托管人复核，在2日内在</w:t>
      </w:r>
      <w:r>
        <w:rPr>
          <w:rFonts w:ascii="宋体" w:hAnsi="宋体"/>
          <w:sz w:val="24"/>
        </w:rPr>
        <w:t>规定媒介</w:t>
      </w:r>
      <w:r>
        <w:rPr>
          <w:rFonts w:ascii="宋体" w:hAnsi="宋体" w:hint="eastAsia"/>
          <w:sz w:val="24"/>
        </w:rPr>
        <w:t>公告。</w:t>
      </w:r>
    </w:p>
    <w:p w14:paraId="5208C40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基金红利发放</w:t>
      </w:r>
      <w:proofErr w:type="gramStart"/>
      <w:r>
        <w:rPr>
          <w:rFonts w:ascii="宋体" w:hAnsi="宋体" w:hint="eastAsia"/>
          <w:sz w:val="24"/>
        </w:rPr>
        <w:t>日距离</w:t>
      </w:r>
      <w:proofErr w:type="gramEnd"/>
      <w:r>
        <w:rPr>
          <w:rFonts w:ascii="宋体" w:hAnsi="宋体" w:hint="eastAsia"/>
          <w:sz w:val="24"/>
        </w:rPr>
        <w:t>收益分配基准日（即可供分配利润计算截止日）的时间不得超过15个工作日。</w:t>
      </w:r>
    </w:p>
    <w:p w14:paraId="35548AA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法律法规或监管机关另有规定的，从其规定。</w:t>
      </w:r>
    </w:p>
    <w:p w14:paraId="0758B6CA"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（四）与基金财产管理、运用有关费用的提取、支付方式与比例</w:t>
      </w:r>
    </w:p>
    <w:p w14:paraId="71690FB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1、基金费用的种类</w:t>
      </w:r>
    </w:p>
    <w:p w14:paraId="668DB3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（1）基金管理人的管理费；</w:t>
      </w:r>
    </w:p>
    <w:p w14:paraId="653AA01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（2）基金托管人的托管费；</w:t>
      </w:r>
    </w:p>
    <w:p w14:paraId="151BAA8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（3）销售服务费</w:t>
      </w:r>
    </w:p>
    <w:p w14:paraId="6168FA2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（4）除法律法规、中国证监会另有规定外，《基金合同》生效后与基金相关的信息披露费用；</w:t>
      </w:r>
    </w:p>
    <w:p w14:paraId="13512AC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（5）《基金合同》生效后与基金相关的会计师费、律师费、诉讼费和仲裁费；</w:t>
      </w:r>
    </w:p>
    <w:p w14:paraId="2BE28C6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（6）基金份额持有人大会费用；</w:t>
      </w:r>
    </w:p>
    <w:p w14:paraId="2D3208A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（7）基金的证券/期货交易费用；</w:t>
      </w:r>
    </w:p>
    <w:p w14:paraId="73833E2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（8）基金的银行汇划费用；</w:t>
      </w:r>
    </w:p>
    <w:p w14:paraId="0CF3E9D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（9）基金的开户费用、账户维护费用；</w:t>
      </w:r>
    </w:p>
    <w:p w14:paraId="045F5D4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）因投资港股通标的股票而产生的各项合理费用；</w:t>
      </w:r>
    </w:p>
    <w:p w14:paraId="598A947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1</w:t>
      </w:r>
      <w:r>
        <w:rPr>
          <w:rFonts w:ascii="宋体" w:hAnsi="宋体" w:hint="eastAsia"/>
          <w:sz w:val="24"/>
        </w:rPr>
        <w:t>）按照国家有关规定和《基金合同》约定，可以在基金财产中列支的其他费用。</w:t>
      </w:r>
    </w:p>
    <w:p w14:paraId="346F202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2、基金费用计提方法、计提标准和支付方式</w:t>
      </w:r>
    </w:p>
    <w:p w14:paraId="2631607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 xml:space="preserve">（1）基金管理人的管理费 </w:t>
      </w:r>
    </w:p>
    <w:p w14:paraId="4F4EAF7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本基金的管理费按前一日基金资产净值的1.</w:t>
      </w:r>
      <w:r>
        <w:rPr>
          <w:rFonts w:ascii="宋体" w:hAnsi="宋体"/>
          <w:sz w:val="24"/>
        </w:rPr>
        <w:t>2</w:t>
      </w:r>
      <w:r>
        <w:rPr>
          <w:rFonts w:ascii="宋体" w:hAnsi="宋体" w:hint="eastAsia"/>
          <w:sz w:val="24"/>
        </w:rPr>
        <w:t>%年费率计提。管理费的计算</w:t>
      </w:r>
      <w:r>
        <w:rPr>
          <w:rFonts w:ascii="宋体" w:hAnsi="宋体" w:hint="eastAsia"/>
          <w:sz w:val="24"/>
        </w:rPr>
        <w:lastRenderedPageBreak/>
        <w:t>方法如下：</w:t>
      </w:r>
    </w:p>
    <w:p w14:paraId="18AD3F5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H＝E×1.</w:t>
      </w:r>
      <w:r>
        <w:rPr>
          <w:rFonts w:ascii="宋体" w:hAnsi="宋体"/>
          <w:sz w:val="24"/>
        </w:rPr>
        <w:t>2</w:t>
      </w:r>
      <w:r>
        <w:rPr>
          <w:rFonts w:ascii="宋体" w:hAnsi="宋体" w:hint="eastAsia"/>
          <w:sz w:val="24"/>
        </w:rPr>
        <w:t>%÷当年天数</w:t>
      </w:r>
    </w:p>
    <w:p w14:paraId="4963DCC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H为每日应计提的基金管理费</w:t>
      </w:r>
    </w:p>
    <w:p w14:paraId="17196E8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E为前一日的基金资产净值</w:t>
      </w:r>
    </w:p>
    <w:p w14:paraId="45B2C9C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费每日计提，逐日累计至每月月末，按月支付，经基金管理人与基金托管人双方核对无误后，基金托管人按照与基金管理人协商一致的方式于次月前5个工作日内从基金财产中一次性支付给基金管理人。若遇法定节假日、休息日或不可抗力致使无法按时支付的，顺延至最近可支付日支付。</w:t>
      </w:r>
    </w:p>
    <w:p w14:paraId="76F4884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（2）基金托管人的托管费</w:t>
      </w:r>
    </w:p>
    <w:p w14:paraId="1E1BE3B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本基金的托管费按前一日基金资产净值的0.2</w:t>
      </w:r>
      <w:r>
        <w:rPr>
          <w:rFonts w:ascii="宋体" w:hAnsi="宋体"/>
          <w:sz w:val="24"/>
        </w:rPr>
        <w:t>0</w:t>
      </w:r>
      <w:r>
        <w:rPr>
          <w:rFonts w:ascii="宋体" w:hAnsi="宋体" w:hint="eastAsia"/>
          <w:sz w:val="24"/>
        </w:rPr>
        <w:t>%的年费率计提。托管费的计算方法如下：</w:t>
      </w:r>
    </w:p>
    <w:p w14:paraId="2EFC46B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H＝E×0.2</w:t>
      </w:r>
      <w:r>
        <w:rPr>
          <w:rFonts w:ascii="宋体" w:hAnsi="宋体"/>
          <w:sz w:val="24"/>
        </w:rPr>
        <w:t>0</w:t>
      </w:r>
      <w:r>
        <w:rPr>
          <w:rFonts w:ascii="宋体" w:hAnsi="宋体" w:hint="eastAsia"/>
          <w:sz w:val="24"/>
        </w:rPr>
        <w:t>%÷当年天数</w:t>
      </w:r>
    </w:p>
    <w:p w14:paraId="1F32974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H为每日应计提的基金托管费</w:t>
      </w:r>
    </w:p>
    <w:p w14:paraId="72E257B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E为前一日的基金资产净值</w:t>
      </w:r>
    </w:p>
    <w:p w14:paraId="704C921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 xml:space="preserve">基金托管费每日计提，逐日累计至每月月末，按月支付，经基金管理人与基金托管人双方核对无误后，基金托管人按照与基金管理人协商一致的方式于次月前5 </w:t>
      </w:r>
      <w:proofErr w:type="gramStart"/>
      <w:r>
        <w:rPr>
          <w:rFonts w:ascii="宋体" w:hAnsi="宋体" w:hint="eastAsia"/>
          <w:sz w:val="24"/>
        </w:rPr>
        <w:t>个</w:t>
      </w:r>
      <w:proofErr w:type="gramEnd"/>
      <w:r>
        <w:rPr>
          <w:rFonts w:ascii="宋体" w:hAnsi="宋体" w:hint="eastAsia"/>
          <w:sz w:val="24"/>
        </w:rPr>
        <w:t>工作日内从基金财产中一次性支取。若遇法定节假日、休息日或不可抗力致使无法按时支付的，顺延至最近可支付日支付。</w:t>
      </w:r>
    </w:p>
    <w:p w14:paraId="448CC78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（3）销售服务费</w:t>
      </w:r>
    </w:p>
    <w:p w14:paraId="67CF842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本基金A类基金份额不收取销售服务费，C类基金份额的销售服务费年费率为0.6%，按前一日C类基金份额资产净值的0.6%年费率计提。</w:t>
      </w:r>
    </w:p>
    <w:p w14:paraId="1F0D742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销售服务费的计算方法如下：</w:t>
      </w:r>
    </w:p>
    <w:p w14:paraId="622EE26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H＝E×0.6%÷当年天数</w:t>
      </w:r>
    </w:p>
    <w:p w14:paraId="3BB04D2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H为C类基金份额每日应计提的销售服务费</w:t>
      </w:r>
    </w:p>
    <w:p w14:paraId="758CB2C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E为C类基金份额前一日基金资产净值</w:t>
      </w:r>
    </w:p>
    <w:p w14:paraId="31B42FF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销售服务费每日计提，逐日累计至每月月末，按月支付，经基金管理人与基金托管人双方核对无误后，基金托管人按照与基金管理人协商一致的方式于次月前5个工作日内从基金财产中一次性支付给基金管理人，由基金管理人代付给销售机构。若遇法定节假日、休息日或不可抗力致使无法按时支付的，顺延至最近可支付日支付。</w:t>
      </w:r>
    </w:p>
    <w:p w14:paraId="68A0503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上述“（一）基金费用的种类”中第（4）-（11）项费用，根据有关法规及相应协议规定，按费用实际支出金额列入当期费用，由基金托管人从基金财产中支付。</w:t>
      </w:r>
    </w:p>
    <w:p w14:paraId="6932777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3、不列入基金费用的项目</w:t>
      </w:r>
    </w:p>
    <w:p w14:paraId="501E0B7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下列费用不列入基金费用：</w:t>
      </w:r>
    </w:p>
    <w:p w14:paraId="2BAB8C8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（1）基金管理人和基金托管人因未履行或未完全履行义务导致的费用支出或基金财产的损失；</w:t>
      </w:r>
    </w:p>
    <w:p w14:paraId="6F3B1A3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（2）基金管理人和基金托管人处理与基金运作无关的事项发生的费用；</w:t>
      </w:r>
    </w:p>
    <w:p w14:paraId="496A986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（3）《基金合同》生效前的相关费用；</w:t>
      </w:r>
    </w:p>
    <w:p w14:paraId="1964DC1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（4）其他根据相关法律法规及中国证监会的有关规定不得列入基金费用的项目。</w:t>
      </w:r>
    </w:p>
    <w:p w14:paraId="4D5D2FA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4、费用调整</w:t>
      </w:r>
    </w:p>
    <w:p w14:paraId="0AFB1CA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基金管理人和基金托管人协商一致后，可根据基金发展情况调整基金管理费率、基金托管费率等相关费率。</w:t>
      </w:r>
    </w:p>
    <w:p w14:paraId="5E87D2F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调整基金管理费率、基金托管费率，应召</w:t>
      </w:r>
      <w:proofErr w:type="gramStart"/>
      <w:r>
        <w:rPr>
          <w:rFonts w:ascii="宋体" w:hAnsi="宋体" w:hint="eastAsia"/>
          <w:sz w:val="24"/>
        </w:rPr>
        <w:t>开基金</w:t>
      </w:r>
      <w:proofErr w:type="gramEnd"/>
      <w:r>
        <w:rPr>
          <w:rFonts w:ascii="宋体" w:hAnsi="宋体" w:hint="eastAsia"/>
          <w:sz w:val="24"/>
        </w:rPr>
        <w:t>份额持有人大会审议。</w:t>
      </w:r>
    </w:p>
    <w:p w14:paraId="1BB6325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基金管理人必须于新的费率实施日前依照《信息披露办法》的有关规定在</w:t>
      </w:r>
      <w:r>
        <w:rPr>
          <w:rFonts w:ascii="宋体" w:hAnsi="宋体"/>
          <w:sz w:val="24"/>
        </w:rPr>
        <w:t>规定媒介</w:t>
      </w:r>
      <w:r>
        <w:rPr>
          <w:rFonts w:ascii="宋体" w:hAnsi="宋体" w:hint="eastAsia"/>
          <w:sz w:val="24"/>
        </w:rPr>
        <w:t>上公告。</w:t>
      </w:r>
    </w:p>
    <w:p w14:paraId="37B51150" w14:textId="77777777"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、基金税收</w:t>
      </w:r>
    </w:p>
    <w:p w14:paraId="3865F34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3A32634D"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（五）基金财产的投资方向和投资限制</w:t>
      </w:r>
    </w:p>
    <w:p w14:paraId="3A18548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1、投资目标</w:t>
      </w:r>
    </w:p>
    <w:p w14:paraId="526F3A1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在严格控制风险的前提下，追求超越业绩比较基准的投资回报，力争实现基金资产的长期稳健增值。</w:t>
      </w:r>
    </w:p>
    <w:p w14:paraId="1014AB6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2、投资范围</w:t>
      </w:r>
    </w:p>
    <w:p w14:paraId="03FF30A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本基金的投资范围为具有良好流动性的金融工具，包括国内依法发行上市的股票（含中小板、创业板及其他经中国证监会核准上市的股票、</w:t>
      </w:r>
      <w:r>
        <w:rPr>
          <w:rFonts w:ascii="宋体" w:hAnsi="宋体" w:hint="eastAsia"/>
          <w:bCs/>
          <w:sz w:val="24"/>
        </w:rPr>
        <w:t>存托凭证</w:t>
      </w:r>
      <w:r>
        <w:rPr>
          <w:rFonts w:ascii="宋体" w:hAnsi="宋体" w:hint="eastAsia"/>
          <w:sz w:val="24"/>
        </w:rPr>
        <w:t>）、港股通标的股票、债券（包括国债、央行票据、金融债券、企业债券、公司债券、中期票据、短期融资</w:t>
      </w:r>
      <w:proofErr w:type="gramStart"/>
      <w:r>
        <w:rPr>
          <w:rFonts w:ascii="宋体" w:hAnsi="宋体" w:hint="eastAsia"/>
          <w:sz w:val="24"/>
        </w:rPr>
        <w:t>券</w:t>
      </w:r>
      <w:proofErr w:type="gramEnd"/>
      <w:r>
        <w:rPr>
          <w:rFonts w:ascii="宋体" w:hAnsi="宋体" w:hint="eastAsia"/>
          <w:sz w:val="24"/>
        </w:rPr>
        <w:t>、超短期融资券、公开发行的次级债券、政府机构债券、</w:t>
      </w:r>
      <w:r>
        <w:rPr>
          <w:rFonts w:ascii="宋体" w:hAnsi="宋体" w:hint="eastAsia"/>
          <w:sz w:val="24"/>
        </w:rPr>
        <w:lastRenderedPageBreak/>
        <w:t>地方政府债券、可交换债券、可转换债券（含分离交易可转债</w:t>
      </w:r>
      <w:proofErr w:type="gramStart"/>
      <w:r>
        <w:rPr>
          <w:rFonts w:ascii="宋体" w:hAnsi="宋体" w:hint="eastAsia"/>
          <w:sz w:val="24"/>
        </w:rPr>
        <w:t>的纯债部</w:t>
      </w:r>
      <w:proofErr w:type="gramEnd"/>
      <w:r>
        <w:rPr>
          <w:rFonts w:ascii="宋体" w:hAnsi="宋体" w:hint="eastAsia"/>
          <w:sz w:val="24"/>
        </w:rPr>
        <w:t>分）及其他经中国证监会允许投资的债券）、债券回购、同业存单、银行存款（包括协议存款、定期存款及其他银行存款）、货币市场工具、股指期货以及法律法规或中国证监会允许基金投资的其他金融工具（但须符合中国证监会相关规定）。</w:t>
      </w:r>
    </w:p>
    <w:p w14:paraId="6FF9778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如法律法规或监管机构以后允许基金投资其他品种，基金管理人在履行适当程序后，可以将其纳入投资范围。</w:t>
      </w:r>
    </w:p>
    <w:p w14:paraId="506AD36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基金的投资组合比例为：本基金投资于股票资产占基金资产的比例为 50% -95%，其中投资于港股通标的股票的比例不超过股票资产的50%；每个交易日日终在扣除股指期货合约需缴纳的交易保证金以后，基金保留的现金或投资于到期日在一年以内的政府债券的比例合计不低于基金资产净值的5%，其中现金不包括结算备付金、存出保证金、应收申购款等。</w:t>
      </w:r>
    </w:p>
    <w:p w14:paraId="2D3DD9B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如法律法规或中国证监会变更投资品种的投资比例限制，基金管理人在履行适当程序后，可以调整上述投资品种的投资比例。</w:t>
      </w:r>
    </w:p>
    <w:p w14:paraId="38D6D2AB"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、投资策略</w:t>
      </w:r>
    </w:p>
    <w:p w14:paraId="245CCE0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（1）大类资产配置策略</w:t>
      </w:r>
    </w:p>
    <w:p w14:paraId="1757B4B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对宏观经济政策及证券市场整体走势进行前瞻性研究，同时紧密跟踪资金流向、市场流动性、交易特征和投资者情绪等因素，兼顾宏观经济增长的长期趋势和短期经济周期的波动，在对证券市场当期的系统性风险及各类资产的预期风险收益进行充分分析的基础上，合理调整股票资产、债券资产和其他金融工具的投资权重，在保持总体风险水平相对稳定的基础上，力争实现基金资产的长期稳健增值。此外，本基金将持续地进行定期与不定期的资产配置风险控制，适时地做出相应调整。</w:t>
      </w:r>
    </w:p>
    <w:p w14:paraId="1ABC746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（2）股票投资策略</w:t>
      </w:r>
    </w:p>
    <w:p w14:paraId="4AC93A9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本基金坚持自上而下与自下而上相结合的投资理念，在宏观策略研究基础上，把握结构性调整机会，将行业分析与个股精选相结合，寻找具有投资潜力的细分行业和个股。</w:t>
      </w:r>
    </w:p>
    <w:p w14:paraId="24D8FFF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1）自上而下的行业遴选</w:t>
      </w:r>
    </w:p>
    <w:p w14:paraId="33E10D3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将自上而下地进行行业遴选，重点关注行业增长前景、行业盈利前景和产业政策要素。对行业增长前景，主要分析行业的外部发展环境、行业的生命周期以及行业波动与经济周期的关系等；对行业盈利前景，主要分析行业结构，</w:t>
      </w:r>
      <w:r>
        <w:rPr>
          <w:rFonts w:ascii="宋体" w:hAnsi="宋体" w:hint="eastAsia"/>
          <w:sz w:val="24"/>
        </w:rPr>
        <w:lastRenderedPageBreak/>
        <w:t>特别是业内竞争的方式、业内竞争的激烈程度、以及业内厂商的谈判能力等；对于产业政策要素，主要分析国家产业发展方向、政策扶持力度等因素，选择符合高标准市场经济要求的行业。</w:t>
      </w:r>
    </w:p>
    <w:p w14:paraId="5BC49FF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2）自下而上的个股选择</w:t>
      </w:r>
    </w:p>
    <w:p w14:paraId="2139AE4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主要从两方面进行自下而上的个股选择：一方面是竞争力分析，通过对公司竞争策略和核心竞争力的分析，选择具有可持续竞争优势的上市公司或未来具有广阔成长空间的公司。就公司竞争策略，基于行业分析的结果判断策略的有效性、策略的实施支持和策略的执行成果；</w:t>
      </w:r>
      <w:proofErr w:type="gramStart"/>
      <w:r>
        <w:rPr>
          <w:rFonts w:ascii="宋体" w:hAnsi="宋体" w:hint="eastAsia"/>
          <w:sz w:val="24"/>
        </w:rPr>
        <w:t>就核心</w:t>
      </w:r>
      <w:proofErr w:type="gramEnd"/>
      <w:r>
        <w:rPr>
          <w:rFonts w:ascii="宋体" w:hAnsi="宋体" w:hint="eastAsia"/>
          <w:sz w:val="24"/>
        </w:rPr>
        <w:t>竞争力，分析公司的现有核心竞争力，并判断公司能否利用现有的资源、能力和定位取得国际竞争力或者在国内市场具备难以复制的优势。另一方面是管理层分析，通过对公司管理层及公司治理结构的分析选择治理结构完善、管理层勤勉尽职的上市公司。</w:t>
      </w:r>
    </w:p>
    <w:p w14:paraId="3CDFDB0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3）综合</w:t>
      </w:r>
      <w:proofErr w:type="gramStart"/>
      <w:r>
        <w:rPr>
          <w:rFonts w:ascii="宋体" w:hAnsi="宋体" w:hint="eastAsia"/>
          <w:sz w:val="24"/>
        </w:rPr>
        <w:t>研</w:t>
      </w:r>
      <w:proofErr w:type="gramEnd"/>
      <w:r>
        <w:rPr>
          <w:rFonts w:ascii="宋体" w:hAnsi="宋体" w:hint="eastAsia"/>
          <w:sz w:val="24"/>
        </w:rPr>
        <w:t>判</w:t>
      </w:r>
    </w:p>
    <w:p w14:paraId="72E31B7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本基金在自上而下和自下而上的基础上，结合估值分析，</w:t>
      </w:r>
      <w:proofErr w:type="gramStart"/>
      <w:r>
        <w:rPr>
          <w:rFonts w:ascii="宋体" w:hAnsi="宋体" w:hint="eastAsia"/>
          <w:sz w:val="24"/>
        </w:rPr>
        <w:t>严选安全</w:t>
      </w:r>
      <w:proofErr w:type="gramEnd"/>
      <w:r>
        <w:rPr>
          <w:rFonts w:ascii="宋体" w:hAnsi="宋体" w:hint="eastAsia"/>
          <w:sz w:val="24"/>
        </w:rPr>
        <w:t>边际较高的个股，力争实现组合的保值增值。通过对绝对估值、相对估值方法的选择和综合</w:t>
      </w:r>
      <w:proofErr w:type="gramStart"/>
      <w:r>
        <w:rPr>
          <w:rFonts w:ascii="宋体" w:hAnsi="宋体" w:hint="eastAsia"/>
          <w:sz w:val="24"/>
        </w:rPr>
        <w:t>研</w:t>
      </w:r>
      <w:proofErr w:type="gramEnd"/>
      <w:r>
        <w:rPr>
          <w:rFonts w:ascii="宋体" w:hAnsi="宋体" w:hint="eastAsia"/>
          <w:sz w:val="24"/>
        </w:rPr>
        <w:t>判，选择股价相对低估的股票。就相对估值方法而言，基于行业的特点确定对股价最有影响力的关键估值方法（包括PE、PEG、PB、PS、EV/EBITDA等）；就估值倍数而言，通过业内比较、历史比较和增长性分析，确定具有上升基础的股价水平。就绝对估值方法而言，基于行业和公司商业模式的特点，确定关键估值方法，包括股息贴现模型（DDM）、现金流贴现模型（DCF模型）、股权自由现金流贴现模型（FCFE模型）、公司自由现金流贴现模型（FCFF模型）等。</w:t>
      </w:r>
    </w:p>
    <w:p w14:paraId="0DA2C39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4）港股通标的股票投资策略</w:t>
      </w:r>
    </w:p>
    <w:p w14:paraId="3835187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本基金可通过内地与香港股票市场交易互联互通机制投资于香港股票市场。本基金将遵循上述股票投资策略，优先将基本面健康、业绩向上弹性较大、具有估值优势的港股纳入本基金的股票投资组合。</w:t>
      </w:r>
    </w:p>
    <w:p w14:paraId="67F987E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（3）债券投资策略</w:t>
      </w:r>
    </w:p>
    <w:p w14:paraId="6AE01CA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固定收益资产投资的目的是在保证基金资产流动性的基础上，有效利用基金资产，提高基金资产的投资收益。基金管理人将基于对国内外宏观经济形势的深入分析、国内财政政策与货币市场政策等因素对固定收益资产的影响，进行合理的利率预期，判断市场的基本走势，</w:t>
      </w:r>
      <w:proofErr w:type="gramStart"/>
      <w:r>
        <w:rPr>
          <w:rFonts w:ascii="宋体" w:hAnsi="宋体" w:hint="eastAsia"/>
          <w:sz w:val="24"/>
        </w:rPr>
        <w:t>制定久期控制</w:t>
      </w:r>
      <w:proofErr w:type="gramEnd"/>
      <w:r>
        <w:rPr>
          <w:rFonts w:ascii="宋体" w:hAnsi="宋体" w:hint="eastAsia"/>
          <w:sz w:val="24"/>
        </w:rPr>
        <w:t>下的资产类属配置策略。在固定收益资产投资组合构建和管理过程中，本基金管理人将具体采用期限结构</w:t>
      </w:r>
      <w:r>
        <w:rPr>
          <w:rFonts w:ascii="宋体" w:hAnsi="宋体" w:hint="eastAsia"/>
          <w:sz w:val="24"/>
        </w:rPr>
        <w:lastRenderedPageBreak/>
        <w:t>配置、市场转换、信用利差和相对价值判断、信用风险评估、现金管理等管理手段进行个</w:t>
      </w:r>
      <w:proofErr w:type="gramStart"/>
      <w:r>
        <w:rPr>
          <w:rFonts w:ascii="宋体" w:hAnsi="宋体" w:hint="eastAsia"/>
          <w:sz w:val="24"/>
        </w:rPr>
        <w:t>券</w:t>
      </w:r>
      <w:proofErr w:type="gramEnd"/>
      <w:r>
        <w:rPr>
          <w:rFonts w:ascii="宋体" w:hAnsi="宋体" w:hint="eastAsia"/>
          <w:sz w:val="24"/>
        </w:rPr>
        <w:t>选择。</w:t>
      </w:r>
    </w:p>
    <w:p w14:paraId="32B8548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（4）可转换债券和可交换债券投资策略</w:t>
      </w:r>
    </w:p>
    <w:p w14:paraId="648F0C9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可转换债券和可交换债券同时具有债券与权益类证券的双重特性。本基金利用宏观经济变化和上市公司的盈利变化，判断市场的变化趋势，选择不同的行业，再根据可转换债券和可交换债券的特性选择各行业不同的券种。本基金利用可转换债券及可交换债券的债券底价和到期收益率来判断</w:t>
      </w:r>
      <w:proofErr w:type="gramStart"/>
      <w:r>
        <w:rPr>
          <w:rFonts w:ascii="宋体" w:hAnsi="宋体" w:hint="eastAsia"/>
          <w:sz w:val="24"/>
        </w:rPr>
        <w:t>其债性</w:t>
      </w:r>
      <w:proofErr w:type="gramEnd"/>
      <w:r>
        <w:rPr>
          <w:rFonts w:ascii="宋体" w:hAnsi="宋体" w:hint="eastAsia"/>
          <w:sz w:val="24"/>
        </w:rPr>
        <w:t>，增强本金投资的相对安全性；利用可转换债券及可交换债券的溢价率来判断其股性，在市场出现投资机会时，优先</w:t>
      </w:r>
      <w:proofErr w:type="gramStart"/>
      <w:r>
        <w:rPr>
          <w:rFonts w:ascii="宋体" w:hAnsi="宋体" w:hint="eastAsia"/>
          <w:sz w:val="24"/>
        </w:rPr>
        <w:t>选择股</w:t>
      </w:r>
      <w:proofErr w:type="gramEnd"/>
      <w:r>
        <w:rPr>
          <w:rFonts w:ascii="宋体" w:hAnsi="宋体" w:hint="eastAsia"/>
          <w:sz w:val="24"/>
        </w:rPr>
        <w:t>性强的品种，获取超额收益。</w:t>
      </w:r>
    </w:p>
    <w:p w14:paraId="5EE3D9D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（5）股指期货投资策略</w:t>
      </w:r>
    </w:p>
    <w:p w14:paraId="662A1CF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本基金将根据风险管理的原则，以套期保值为目的，在风险可控的前提下，本着谨慎原则，参与股指期货的投资，以管理投资组合的系统性风险，改善组合的风险收益特性。</w:t>
      </w:r>
    </w:p>
    <w:p w14:paraId="78A74C6F" w14:textId="77777777" w:rsidR="008A6127" w:rsidRDefault="00437D9F">
      <w:pPr>
        <w:spacing w:line="360" w:lineRule="auto"/>
        <w:ind w:firstLineChars="200" w:firstLine="480"/>
        <w:rPr>
          <w:rFonts w:ascii="宋体" w:hAnsi="宋体"/>
          <w:bCs/>
          <w:sz w:val="24"/>
        </w:rPr>
      </w:pPr>
      <w:r>
        <w:rPr>
          <w:rFonts w:ascii="宋体" w:hAnsi="宋体" w:hint="eastAsia"/>
          <w:sz w:val="24"/>
        </w:rPr>
        <w:t>（6）</w:t>
      </w:r>
      <w:r>
        <w:rPr>
          <w:rFonts w:ascii="宋体" w:hAnsi="宋体" w:hint="eastAsia"/>
          <w:bCs/>
          <w:sz w:val="24"/>
        </w:rPr>
        <w:t>存托凭证投资策略</w:t>
      </w:r>
    </w:p>
    <w:p w14:paraId="452C2A72" w14:textId="77777777" w:rsidR="008A6127" w:rsidRDefault="00437D9F">
      <w:pPr>
        <w:spacing w:line="360" w:lineRule="auto"/>
        <w:ind w:firstLineChars="200" w:firstLine="480"/>
        <w:rPr>
          <w:rFonts w:ascii="宋体" w:hAnsi="宋体"/>
          <w:bCs/>
          <w:sz w:val="24"/>
        </w:rPr>
      </w:pPr>
      <w:r>
        <w:rPr>
          <w:rFonts w:ascii="宋体" w:hAnsi="宋体" w:hint="eastAsia"/>
          <w:bCs/>
          <w:sz w:val="24"/>
        </w:rPr>
        <w:t>本基金投资存托凭证的策略依照上述境内上市交易的股票投资策略执行。</w:t>
      </w:r>
    </w:p>
    <w:p w14:paraId="4A65357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4、投资限制</w:t>
      </w:r>
    </w:p>
    <w:p w14:paraId="27C0550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（1）组合限制</w:t>
      </w:r>
    </w:p>
    <w:p w14:paraId="188B5FC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基金的投资组合应遵循以下限制：</w:t>
      </w:r>
    </w:p>
    <w:p w14:paraId="35E6853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1）本基金投资于股票占基金资产的比例为50%-95%；其中投资于港股通标的股票的比例不超过股票资产的50%；</w:t>
      </w:r>
    </w:p>
    <w:p w14:paraId="6791C86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本基金每个交易日日终在扣除股指期货合约需缴纳的交易保证金后，应当保持不低于基金资产净值5％的现金或者到期日在一年以内的政府债券，本基金所指的现金不包括结算备付金、存出保证金、应收申购款等；</w:t>
      </w:r>
    </w:p>
    <w:p w14:paraId="5EC2ECF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3）本基金持有一家公司发行的证券（同一家公司在内地和香港同时上市的A+H股合计计算），其市值不超过基金资产净值的10％；</w:t>
      </w:r>
    </w:p>
    <w:p w14:paraId="7708B03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4）本基金管理人管理的全部基金持有一家公司发行的证券（同一家公司在内地和香港同时上市的A+H股合计计算），不超过该证券的10％；</w:t>
      </w:r>
    </w:p>
    <w:p w14:paraId="235E1A6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5）基金财产参与股票发行申购，本基金所申报的金额不超过本基金的总资产，本基金所申报的股票数量不超过拟发行股票公司本次发行股票的总量；</w:t>
      </w:r>
    </w:p>
    <w:p w14:paraId="6C28DAF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6）本基金进入全国银行间同业市场进行债券回购的资金余额不得超过基金</w:t>
      </w:r>
      <w:r>
        <w:rPr>
          <w:rFonts w:ascii="宋体" w:hAnsi="宋体" w:hint="eastAsia"/>
          <w:sz w:val="24"/>
        </w:rPr>
        <w:lastRenderedPageBreak/>
        <w:t>资产净值的40%，本基金在全国银行间同业市场中的债券回购最长期限为1年，债券回购到期后不得展期；</w:t>
      </w:r>
    </w:p>
    <w:p w14:paraId="7665B40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7）本基金参与股指期货交易，应当遵循下列要求：</w:t>
      </w:r>
    </w:p>
    <w:p w14:paraId="36B8A9F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①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14:paraId="655E3E5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②本基金在任何交易日日终，持有的买入股指期货合约价值，不得超过基金资产净值的10%；在任何交易日日终，持有的卖出股指期货合约价值不得超过基金持有的股票总市值的20%；本基金在任何交易日内交易（不包括平仓）的股指期货合约的成交金额不得超过上一交易日基金资产净值的20%；本基金所持有的股票市值和买入、卖出股指期货合约价值，合计（轧差计算）应当符合《基金合同》关于股票投资比例的有关约定；</w:t>
      </w:r>
    </w:p>
    <w:p w14:paraId="6B89FA2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 xml:space="preserve">8）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 </w:t>
      </w:r>
    </w:p>
    <w:p w14:paraId="274F6C2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9）本基金主动投资流动性受限资产的市值合计不得超过本</w:t>
      </w:r>
      <w:proofErr w:type="gramStart"/>
      <w:r>
        <w:rPr>
          <w:rFonts w:ascii="宋体" w:hAnsi="宋体" w:hint="eastAsia"/>
          <w:sz w:val="24"/>
        </w:rPr>
        <w:t>基金基金</w:t>
      </w:r>
      <w:proofErr w:type="gramEnd"/>
      <w:r>
        <w:rPr>
          <w:rFonts w:ascii="宋体" w:hAnsi="宋体" w:hint="eastAsia"/>
          <w:sz w:val="24"/>
        </w:rPr>
        <w:t>资产净值的15%；因证券市场波动、上市公司股票停牌、基金规模变动等基金管理人之外的因素致使基金投资比例不符合上述投资比例限制的，基金管理人不得主动新增流动性受限资产的投资；</w:t>
      </w:r>
    </w:p>
    <w:p w14:paraId="2CF441D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10）本基金与私募类</w:t>
      </w:r>
      <w:proofErr w:type="gramStart"/>
      <w:r>
        <w:rPr>
          <w:rFonts w:ascii="宋体" w:hAnsi="宋体" w:hint="eastAsia"/>
          <w:sz w:val="24"/>
        </w:rPr>
        <w:t>证券资管产品</w:t>
      </w:r>
      <w:proofErr w:type="gramEnd"/>
      <w:r>
        <w:rPr>
          <w:rFonts w:ascii="宋体" w:hAnsi="宋体" w:hint="eastAsia"/>
          <w:sz w:val="24"/>
        </w:rPr>
        <w:t>及中国证监会认定的其他主体为交易对手方开展逆回购交易的，可接受质押品的资质要求应当与基金合同约定的投资范围保持一致；</w:t>
      </w:r>
    </w:p>
    <w:p w14:paraId="318DFD9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11）本基金资产总值不超过基金资产净值的140%；</w:t>
      </w:r>
    </w:p>
    <w:p w14:paraId="2F465DB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12）本基金投资存托凭证的比例限制依照境内上市交易的股票执行，与境内上市交易的股票合并计算；</w:t>
      </w:r>
    </w:p>
    <w:p w14:paraId="39857FA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13）法律法规及中国证监会规定的和《基金合同》约定的其他投资限制。</w:t>
      </w:r>
    </w:p>
    <w:p w14:paraId="5180266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除上述2）、9）、10）情形之外，因证券/期货市场波动、证券发行人合并、基金规模变动等基金管理人之外的因素致使基金投资比例不符合上述规定投资</w:t>
      </w:r>
      <w:r>
        <w:rPr>
          <w:rFonts w:ascii="宋体" w:hAnsi="宋体" w:hint="eastAsia"/>
          <w:sz w:val="24"/>
        </w:rPr>
        <w:lastRenderedPageBreak/>
        <w:t>比例的，基金管理人应当在10个交易日内进行调整，但中国证监会规定的特殊情形除外。法律法规或监管部门另有规定的，从其规定。</w:t>
      </w:r>
    </w:p>
    <w:p w14:paraId="3C4D2DD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法律法规或监管部门另有规定的，从其规定。</w:t>
      </w:r>
    </w:p>
    <w:p w14:paraId="77E5037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律法规或监管部门对上述投资组合比例限制进行变更的，以变更后的规定为准。法律法规或监管部门取消上述限制，如适用于本基金，基金管理人在履行适当程序后，则本基金投资不再受相关限制或按调整后的规定执行，无需经基金份额持有人大会审议，但须提前公告。</w:t>
      </w:r>
    </w:p>
    <w:p w14:paraId="27C4104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（2）禁止行为</w:t>
      </w:r>
    </w:p>
    <w:p w14:paraId="27B1586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为维护基金份额持有人的合法权益，基金财产不得用于下列投资或者活动：</w:t>
      </w:r>
    </w:p>
    <w:p w14:paraId="5999FEE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1）承销证券；</w:t>
      </w:r>
    </w:p>
    <w:p w14:paraId="03D4AB5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2）违反规定向他人贷款或者提供担保；</w:t>
      </w:r>
    </w:p>
    <w:p w14:paraId="10BD6CF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3）从事承担无限责任的投资；</w:t>
      </w:r>
    </w:p>
    <w:p w14:paraId="4E0A031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4）买卖其他基金份额，但是中国证监会另有规定的除外；</w:t>
      </w:r>
    </w:p>
    <w:p w14:paraId="71256E8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5）向其基金管理人、基金托管人出资；</w:t>
      </w:r>
    </w:p>
    <w:p w14:paraId="440D534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6）从事内幕交易、操纵证券交易价格及其他不正当的证券交易活动；</w:t>
      </w:r>
    </w:p>
    <w:p w14:paraId="4E41CEB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7）法律、行政法规和中国证监会规定禁止的其他活动。</w:t>
      </w:r>
    </w:p>
    <w:p w14:paraId="4DA36A1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如法律法规或监管部门取消上述禁止性规定，基金管理人在履行适当程序后，则本基金投资不再受相关限制，无需经基金份额持有人大会审议。</w:t>
      </w:r>
    </w:p>
    <w:p w14:paraId="1128DB2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（3）关联交易原则</w:t>
      </w:r>
    </w:p>
    <w:p w14:paraId="676B495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9EA86D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如法律、行政法规或监管部门取消或变更上述限制，如适用于本基金，基金</w:t>
      </w:r>
      <w:r>
        <w:rPr>
          <w:rFonts w:ascii="宋体" w:hAnsi="宋体" w:hint="eastAsia"/>
          <w:sz w:val="24"/>
        </w:rPr>
        <w:lastRenderedPageBreak/>
        <w:t>管理人在履行适当程序后，则本基金投资不再受相关限制或按变更后的规定执行，无需经基金份额持有人大会审议。</w:t>
      </w:r>
    </w:p>
    <w:p w14:paraId="554300C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5、业绩比较基准</w:t>
      </w:r>
    </w:p>
    <w:p w14:paraId="16585052" w14:textId="77777777" w:rsidR="009C2403" w:rsidRPr="00B83A0B" w:rsidRDefault="009C2403" w:rsidP="009C2403">
      <w:pPr>
        <w:snapToGrid w:val="0"/>
        <w:spacing w:line="360" w:lineRule="auto"/>
        <w:ind w:firstLineChars="200" w:firstLine="480"/>
        <w:rPr>
          <w:rFonts w:ascii="宋体" w:hAnsi="宋体"/>
          <w:sz w:val="24"/>
        </w:rPr>
      </w:pPr>
      <w:r w:rsidRPr="00B83A0B">
        <w:rPr>
          <w:rFonts w:ascii="宋体" w:hAnsi="宋体" w:hint="eastAsia"/>
          <w:sz w:val="24"/>
        </w:rPr>
        <w:t>沪深300指数收益率*60%+中证港股</w:t>
      </w:r>
      <w:proofErr w:type="gramStart"/>
      <w:r w:rsidRPr="00B83A0B">
        <w:rPr>
          <w:rFonts w:ascii="宋体" w:hAnsi="宋体" w:hint="eastAsia"/>
          <w:sz w:val="24"/>
        </w:rPr>
        <w:t>通综合</w:t>
      </w:r>
      <w:proofErr w:type="gramEnd"/>
      <w:r w:rsidRPr="00B83A0B">
        <w:rPr>
          <w:rFonts w:ascii="宋体" w:hAnsi="宋体" w:hint="eastAsia"/>
          <w:sz w:val="24"/>
        </w:rPr>
        <w:t>指数（人民币）收益率*20%+中债-综合全价（总值）指数收益率*20%</w:t>
      </w:r>
    </w:p>
    <w:p w14:paraId="2E2AF261"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1、业绩比较基准设定的原因</w:t>
      </w:r>
    </w:p>
    <w:p w14:paraId="40A13D31"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（1）基于基金投资范围以及预期投资的主要资产类别，本基金主要投资于A股股票、港股通股票、债券等资产，相应选取与之匹配的A股指数、港股</w:t>
      </w:r>
      <w:proofErr w:type="gramStart"/>
      <w:r w:rsidRPr="00766812">
        <w:rPr>
          <w:rFonts w:ascii="宋体" w:hAnsi="宋体" w:hint="eastAsia"/>
          <w:sz w:val="24"/>
        </w:rPr>
        <w:t>通指数</w:t>
      </w:r>
      <w:proofErr w:type="gramEnd"/>
      <w:r w:rsidRPr="00766812">
        <w:rPr>
          <w:rFonts w:ascii="宋体" w:hAnsi="宋体" w:hint="eastAsia"/>
          <w:sz w:val="24"/>
        </w:rPr>
        <w:t>与债券指数作为基准要素；同时基于基金投资于股票（</w:t>
      </w:r>
      <w:proofErr w:type="gramStart"/>
      <w:r w:rsidRPr="00766812">
        <w:rPr>
          <w:rFonts w:ascii="宋体" w:hAnsi="宋体" w:hint="eastAsia"/>
          <w:sz w:val="24"/>
        </w:rPr>
        <w:t>含存托</w:t>
      </w:r>
      <w:proofErr w:type="gramEnd"/>
      <w:r w:rsidRPr="00766812">
        <w:rPr>
          <w:rFonts w:ascii="宋体" w:hAnsi="宋体" w:hint="eastAsia"/>
          <w:sz w:val="24"/>
        </w:rPr>
        <w:t>凭证资产）占基金资产的比例为50%-95%（其中投资于港股通标的股票的比例不超过股票资产的50%）等投资比例限制，以及预期的资产配置比例，本基金将股票资产与债券资产所对应的基准要素权重分别设置为80%与20%，其中将股票资产中的A股股票与港股</w:t>
      </w:r>
      <w:proofErr w:type="gramStart"/>
      <w:r w:rsidRPr="00766812">
        <w:rPr>
          <w:rFonts w:ascii="宋体" w:hAnsi="宋体" w:hint="eastAsia"/>
          <w:sz w:val="24"/>
        </w:rPr>
        <w:t>通股</w:t>
      </w:r>
      <w:proofErr w:type="gramEnd"/>
      <w:r w:rsidRPr="00766812">
        <w:rPr>
          <w:rFonts w:ascii="宋体" w:hAnsi="宋体" w:hint="eastAsia"/>
          <w:sz w:val="24"/>
        </w:rPr>
        <w:t>票所对应的基准要素权重分别设置为60%与20%。</w:t>
      </w:r>
    </w:p>
    <w:p w14:paraId="04B5655C"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2）基于基金投资目标、投资范围和投资策略，本基金的股票资产采用全市场选股策略，坚持自上而下与自下而上相结合的投资理念，在宏观策略研究基础上，把握结构性调整机会，将行业分析与个股精选相结合，寻找具有投资潜力的细分行业和个股。在严格控制风险的前提下，追求超越业绩比较基准的投资回报，力争实现基金资产的长期稳健增值。综合考虑基准指数与产品定位、投资风格的匹配度，同时兼顾考虑基准指数的表征性、认可度，以及指数市值覆盖、风格特征、行业与</w:t>
      </w:r>
      <w:proofErr w:type="gramStart"/>
      <w:r w:rsidRPr="00766812">
        <w:rPr>
          <w:rFonts w:ascii="宋体" w:hAnsi="宋体" w:hint="eastAsia"/>
          <w:sz w:val="24"/>
        </w:rPr>
        <w:t>个股</w:t>
      </w:r>
      <w:proofErr w:type="gramEnd"/>
      <w:r w:rsidRPr="00766812">
        <w:rPr>
          <w:rFonts w:ascii="宋体" w:hAnsi="宋体" w:hint="eastAsia"/>
          <w:sz w:val="24"/>
        </w:rPr>
        <w:t>分布等，本基金选取沪深300指数和中证港股</w:t>
      </w:r>
      <w:proofErr w:type="gramStart"/>
      <w:r w:rsidRPr="00766812">
        <w:rPr>
          <w:rFonts w:ascii="宋体" w:hAnsi="宋体" w:hint="eastAsia"/>
          <w:sz w:val="24"/>
        </w:rPr>
        <w:t>通综</w:t>
      </w:r>
      <w:proofErr w:type="gramEnd"/>
      <w:r w:rsidRPr="00766812">
        <w:rPr>
          <w:rFonts w:ascii="宋体" w:hAnsi="宋体" w:hint="eastAsia"/>
          <w:sz w:val="24"/>
        </w:rPr>
        <w:t>合指数（人民币）分别作为A股和港股</w:t>
      </w:r>
      <w:proofErr w:type="gramStart"/>
      <w:r w:rsidRPr="00766812">
        <w:rPr>
          <w:rFonts w:ascii="宋体" w:hAnsi="宋体" w:hint="eastAsia"/>
          <w:sz w:val="24"/>
        </w:rPr>
        <w:t>通股</w:t>
      </w:r>
      <w:proofErr w:type="gramEnd"/>
      <w:r w:rsidRPr="00766812">
        <w:rPr>
          <w:rFonts w:ascii="宋体" w:hAnsi="宋体" w:hint="eastAsia"/>
          <w:sz w:val="24"/>
        </w:rPr>
        <w:t>票部分的基准要素，具体情况如下：</w:t>
      </w:r>
    </w:p>
    <w:p w14:paraId="3DFE24C2"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沪深300指数由沪深市场中规模大、流动性好的最具代表性的300只证券组成，反映沪深市场上市公司证券的整体表现。指数样本量大，行业覆盖面广，适合作为本基金A股股票部分的业绩比较基准要素。</w:t>
      </w:r>
    </w:p>
    <w:p w14:paraId="59D4F201"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中证港股</w:t>
      </w:r>
      <w:proofErr w:type="gramStart"/>
      <w:r w:rsidRPr="00766812">
        <w:rPr>
          <w:rFonts w:ascii="宋体" w:hAnsi="宋体" w:hint="eastAsia"/>
          <w:sz w:val="24"/>
        </w:rPr>
        <w:t>通综合</w:t>
      </w:r>
      <w:proofErr w:type="gramEnd"/>
      <w:r w:rsidRPr="00766812">
        <w:rPr>
          <w:rFonts w:ascii="宋体" w:hAnsi="宋体" w:hint="eastAsia"/>
          <w:sz w:val="24"/>
        </w:rPr>
        <w:t>指数（人民币）选取符合港股</w:t>
      </w:r>
      <w:proofErr w:type="gramStart"/>
      <w:r w:rsidRPr="00766812">
        <w:rPr>
          <w:rFonts w:ascii="宋体" w:hAnsi="宋体" w:hint="eastAsia"/>
          <w:sz w:val="24"/>
        </w:rPr>
        <w:t>通资</w:t>
      </w:r>
      <w:proofErr w:type="gramEnd"/>
      <w:r w:rsidRPr="00766812">
        <w:rPr>
          <w:rFonts w:ascii="宋体" w:hAnsi="宋体" w:hint="eastAsia"/>
          <w:sz w:val="24"/>
        </w:rPr>
        <w:t>格的上市公司证券作为样本，反映港股</w:t>
      </w:r>
      <w:proofErr w:type="gramStart"/>
      <w:r w:rsidRPr="00766812">
        <w:rPr>
          <w:rFonts w:ascii="宋体" w:hAnsi="宋体" w:hint="eastAsia"/>
          <w:sz w:val="24"/>
        </w:rPr>
        <w:t>通范</w:t>
      </w:r>
      <w:proofErr w:type="gramEnd"/>
      <w:r w:rsidRPr="00766812">
        <w:rPr>
          <w:rFonts w:ascii="宋体" w:hAnsi="宋体" w:hint="eastAsia"/>
          <w:sz w:val="24"/>
        </w:rPr>
        <w:t>围内上市公司的整体表现，适合作为本基金港股</w:t>
      </w:r>
      <w:proofErr w:type="gramStart"/>
      <w:r w:rsidRPr="00766812">
        <w:rPr>
          <w:rFonts w:ascii="宋体" w:hAnsi="宋体" w:hint="eastAsia"/>
          <w:sz w:val="24"/>
        </w:rPr>
        <w:t>通股</w:t>
      </w:r>
      <w:proofErr w:type="gramEnd"/>
      <w:r w:rsidRPr="00766812">
        <w:rPr>
          <w:rFonts w:ascii="宋体" w:hAnsi="宋体" w:hint="eastAsia"/>
          <w:sz w:val="24"/>
        </w:rPr>
        <w:t>票部分的业绩比较基准要素。</w:t>
      </w:r>
    </w:p>
    <w:p w14:paraId="5954EDCC"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（3）基于基金投资目标、投资范围和投资策略，本基金的债券资产采用全市场策略，主要</w:t>
      </w:r>
      <w:proofErr w:type="gramStart"/>
      <w:r w:rsidRPr="00766812">
        <w:rPr>
          <w:rFonts w:ascii="宋体" w:hAnsi="宋体" w:hint="eastAsia"/>
          <w:sz w:val="24"/>
        </w:rPr>
        <w:t>通过久期调整</w:t>
      </w:r>
      <w:proofErr w:type="gramEnd"/>
      <w:r w:rsidRPr="00766812">
        <w:rPr>
          <w:rFonts w:ascii="宋体" w:hAnsi="宋体" w:hint="eastAsia"/>
          <w:sz w:val="24"/>
        </w:rPr>
        <w:t>、期限结构配置、类属配置、个券选择等积极的投资策略进行投资管理。综合考虑基准指数与产品定位和投资风格的匹配度，同时</w:t>
      </w:r>
      <w:r w:rsidRPr="00766812">
        <w:rPr>
          <w:rFonts w:ascii="宋体" w:hAnsi="宋体" w:hint="eastAsia"/>
          <w:sz w:val="24"/>
        </w:rPr>
        <w:lastRenderedPageBreak/>
        <w:t>兼顾考虑基准指数的表征性、认可度，以及基准指数券种、久期、信用等级分布特征等，选取中债-综合全价（总值）指数作为债券部分的业绩比较基准要素。</w:t>
      </w:r>
    </w:p>
    <w:p w14:paraId="2A33985B"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中债-综合全价（总值）指数的样本范围涵盖银行间市场和交易所市场，成份债券包括国家债券、企业债券、央行票据等主要债券种类，具有广泛的市场代表性，反映境内人民币债券市场整体表现，适合作为本基金债券部分的业绩比较基准要素。</w:t>
      </w:r>
    </w:p>
    <w:p w14:paraId="1868AE75"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综上，本基金选取的业绩比较基准与基金投资目标、投资范围、投资策略、投资比例限制相匹配。</w:t>
      </w:r>
    </w:p>
    <w:p w14:paraId="02F9785A"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2、业绩比较基准要素的基本信息</w:t>
      </w:r>
    </w:p>
    <w:p w14:paraId="378AD0DD"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沪深300指数由中证指数有限公司编制发布，指数代码为000300，指数具体信息详见中证指数有限公司网站，网址：www.csindex.com.cn。</w:t>
      </w:r>
    </w:p>
    <w:p w14:paraId="637B82A8"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中证港股</w:t>
      </w:r>
      <w:proofErr w:type="gramStart"/>
      <w:r w:rsidRPr="00766812">
        <w:rPr>
          <w:rFonts w:ascii="宋体" w:hAnsi="宋体" w:hint="eastAsia"/>
          <w:sz w:val="24"/>
        </w:rPr>
        <w:t>通综合</w:t>
      </w:r>
      <w:proofErr w:type="gramEnd"/>
      <w:r w:rsidRPr="00766812">
        <w:rPr>
          <w:rFonts w:ascii="宋体" w:hAnsi="宋体" w:hint="eastAsia"/>
          <w:sz w:val="24"/>
        </w:rPr>
        <w:t>指数（人民币）由中证指数有限公司编制发布，指数代码为930933，指数具体信息详见中证指数有限公司网站，网址：www.csindex.com.cn。</w:t>
      </w:r>
    </w:p>
    <w:p w14:paraId="145045BE"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中债-综合全价（总值）指数由中</w:t>
      </w:r>
      <w:proofErr w:type="gramStart"/>
      <w:r w:rsidRPr="00766812">
        <w:rPr>
          <w:rFonts w:ascii="宋体" w:hAnsi="宋体" w:hint="eastAsia"/>
          <w:sz w:val="24"/>
        </w:rPr>
        <w:t>债金融</w:t>
      </w:r>
      <w:proofErr w:type="gramEnd"/>
      <w:r w:rsidRPr="00766812">
        <w:rPr>
          <w:rFonts w:ascii="宋体" w:hAnsi="宋体" w:hint="eastAsia"/>
          <w:sz w:val="24"/>
        </w:rPr>
        <w:t>估值中心有限公司编制发布，指数代码为CBA00203，指数具体信息详见中国债券信息网，网址：www.chinabond.com.cn。</w:t>
      </w:r>
    </w:p>
    <w:p w14:paraId="66905446"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3、业绩比较基准的计算方法</w:t>
      </w:r>
    </w:p>
    <w:p w14:paraId="49FE01DB"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本基金业绩比较基准收益率的计算方法以每日收益率为基础，以时间加权为计算原则。本基金先分别计算业绩比较基准中的沪深300指数、中证港股</w:t>
      </w:r>
      <w:proofErr w:type="gramStart"/>
      <w:r w:rsidRPr="00766812">
        <w:rPr>
          <w:rFonts w:ascii="宋体" w:hAnsi="宋体" w:hint="eastAsia"/>
          <w:sz w:val="24"/>
        </w:rPr>
        <w:t>通综合</w:t>
      </w:r>
      <w:proofErr w:type="gramEnd"/>
      <w:r w:rsidRPr="00766812">
        <w:rPr>
          <w:rFonts w:ascii="宋体" w:hAnsi="宋体" w:hint="eastAsia"/>
          <w:sz w:val="24"/>
        </w:rPr>
        <w:t>指数（人民币）、中债-综合全价（总值）指数的每日收益率，再按照预设权重比例计算当日组合要素基准的日收益率，并连乘每日收益率。</w:t>
      </w:r>
    </w:p>
    <w:p w14:paraId="309A1523"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4、管理投资偏离业绩比较基准的定性或定量方法</w:t>
      </w:r>
    </w:p>
    <w:p w14:paraId="2229ACBE"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本基金管理人对基金实际投资与业绩比较基准的偏离情况进行动态跟踪与监测评估，监测指标主要包括信息比率、跟踪误差、超额收益、卡</w:t>
      </w:r>
      <w:proofErr w:type="gramStart"/>
      <w:r w:rsidRPr="00766812">
        <w:rPr>
          <w:rFonts w:ascii="宋体" w:hAnsi="宋体" w:hint="eastAsia"/>
          <w:sz w:val="24"/>
        </w:rPr>
        <w:t>玛</w:t>
      </w:r>
      <w:proofErr w:type="gramEnd"/>
      <w:r w:rsidRPr="00766812">
        <w:rPr>
          <w:rFonts w:ascii="宋体" w:hAnsi="宋体" w:hint="eastAsia"/>
          <w:sz w:val="24"/>
        </w:rPr>
        <w:t>比率等，以更好管理基金实际投资与业绩比较基准的偏离情况，在严格控制风险的前提下，追求超越业绩比较基准的投资回报，力争实现基金资产的长期稳健增值。对于股票资产，可以采用股票配置偏离限额（</w:t>
      </w:r>
      <w:proofErr w:type="gramStart"/>
      <w:r w:rsidRPr="00766812">
        <w:rPr>
          <w:rFonts w:ascii="宋体" w:hAnsi="宋体" w:hint="eastAsia"/>
          <w:sz w:val="24"/>
        </w:rPr>
        <w:t>仓位</w:t>
      </w:r>
      <w:proofErr w:type="gramEnd"/>
      <w:r w:rsidRPr="00766812">
        <w:rPr>
          <w:rFonts w:ascii="宋体" w:hAnsi="宋体" w:hint="eastAsia"/>
          <w:sz w:val="24"/>
        </w:rPr>
        <w:t>、行业或风格结构偏离等）、基准成份券覆盖率、主动比率等指标；对于债券资产，可以</w:t>
      </w:r>
      <w:proofErr w:type="gramStart"/>
      <w:r w:rsidRPr="00766812">
        <w:rPr>
          <w:rFonts w:ascii="宋体" w:hAnsi="宋体" w:hint="eastAsia"/>
          <w:sz w:val="24"/>
        </w:rPr>
        <w:t>采用久期中枢</w:t>
      </w:r>
      <w:proofErr w:type="gramEnd"/>
      <w:r w:rsidRPr="00766812">
        <w:rPr>
          <w:rFonts w:ascii="宋体" w:hAnsi="宋体" w:hint="eastAsia"/>
          <w:sz w:val="24"/>
        </w:rPr>
        <w:t>、信用风险暴露集中度、含权资产（如有）</w:t>
      </w:r>
      <w:proofErr w:type="gramStart"/>
      <w:r w:rsidRPr="00766812">
        <w:rPr>
          <w:rFonts w:ascii="宋体" w:hAnsi="宋体" w:hint="eastAsia"/>
          <w:sz w:val="24"/>
        </w:rPr>
        <w:t>仓</w:t>
      </w:r>
      <w:proofErr w:type="gramEnd"/>
      <w:r w:rsidRPr="00766812">
        <w:rPr>
          <w:rFonts w:ascii="宋体" w:hAnsi="宋体" w:hint="eastAsia"/>
          <w:sz w:val="24"/>
        </w:rPr>
        <w:t>位与结构、最大回撤等指标。</w:t>
      </w:r>
    </w:p>
    <w:p w14:paraId="33D4C460"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本基金为主动管理型基金，其业绩比较基准是表征产品风格、衡量产品业绩、</w:t>
      </w:r>
      <w:r w:rsidRPr="00766812">
        <w:rPr>
          <w:rFonts w:ascii="宋体" w:hAnsi="宋体" w:hint="eastAsia"/>
          <w:sz w:val="24"/>
        </w:rPr>
        <w:lastRenderedPageBreak/>
        <w:t>约束投资行为的参考标准，并非本基金的跟踪标的。基金管理人在基金合同约定的投资范围、投资限制内享有充分的投资决策自主权，可根据投资策略、市场</w:t>
      </w:r>
      <w:proofErr w:type="gramStart"/>
      <w:r w:rsidRPr="00766812">
        <w:rPr>
          <w:rFonts w:ascii="宋体" w:hAnsi="宋体" w:hint="eastAsia"/>
          <w:sz w:val="24"/>
        </w:rPr>
        <w:t>研判等</w:t>
      </w:r>
      <w:proofErr w:type="gramEnd"/>
      <w:r w:rsidRPr="00766812">
        <w:rPr>
          <w:rFonts w:ascii="宋体" w:hAnsi="宋体" w:hint="eastAsia"/>
          <w:sz w:val="24"/>
        </w:rPr>
        <w:t>综合因素，自主构建投资组合，包括酌情投资于业绩比较基准要素成份证券外的证券。本基金投资组合相对业绩比较基准要素成份证券和权重可能存在偏离。</w:t>
      </w:r>
    </w:p>
    <w:p w14:paraId="047E5811"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5、未来可能变更业绩比较基准的情况和程序</w:t>
      </w:r>
    </w:p>
    <w:p w14:paraId="7E0538B2"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295D1188"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72765476"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（2）调整业绩比较基准的要素权重、更换相同或相近特征的要素等，使新业绩比较基准代表性更强，且符合相关法律法规规定的；</w:t>
      </w:r>
    </w:p>
    <w:p w14:paraId="40932CB3"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（3）中国证监会认可的其他情形。</w:t>
      </w:r>
    </w:p>
    <w:p w14:paraId="6926B65A"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业绩比较基准变更涉及以下情形的，基金管理人应当按照规定履行变更注册、召开基金份额持有人大会等程序，法律法规、中国证监会另有规定的除外：</w:t>
      </w:r>
    </w:p>
    <w:p w14:paraId="0D2E870C" w14:textId="77777777" w:rsidR="00766812" w:rsidRPr="00766812" w:rsidRDefault="00766812" w:rsidP="00766812">
      <w:pPr>
        <w:snapToGrid w:val="0"/>
        <w:spacing w:line="360" w:lineRule="auto"/>
        <w:ind w:firstLineChars="200" w:firstLine="480"/>
        <w:rPr>
          <w:rFonts w:ascii="宋体" w:hAnsi="宋体"/>
          <w:sz w:val="24"/>
        </w:rPr>
      </w:pPr>
      <w:r w:rsidRPr="00766812">
        <w:rPr>
          <w:rFonts w:ascii="宋体" w:hAnsi="宋体" w:hint="eastAsia"/>
          <w:sz w:val="24"/>
        </w:rPr>
        <w:t>（1）基金投资目标、投资范围、投资策略、投资比例等拟进行重大调整，并变更业绩比较基准的；</w:t>
      </w:r>
    </w:p>
    <w:p w14:paraId="1D77D612" w14:textId="2760FA0C" w:rsidR="008A6127" w:rsidRDefault="00766812">
      <w:pPr>
        <w:snapToGrid w:val="0"/>
        <w:spacing w:line="360" w:lineRule="auto"/>
        <w:ind w:firstLineChars="200" w:firstLine="480"/>
        <w:rPr>
          <w:rFonts w:ascii="宋体" w:hAnsi="宋体"/>
          <w:sz w:val="24"/>
        </w:rPr>
      </w:pPr>
      <w:r w:rsidRPr="00766812">
        <w:rPr>
          <w:rFonts w:ascii="宋体" w:hAnsi="宋体" w:hint="eastAsia"/>
          <w:sz w:val="24"/>
        </w:rPr>
        <w:t>（2）其他对基金份额持有人利益产生重大实质性影响的情形。</w:t>
      </w:r>
    </w:p>
    <w:p w14:paraId="195C42F6"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（六）基金资产净值的计算方法和公告方式</w:t>
      </w:r>
    </w:p>
    <w:p w14:paraId="0381A9B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1、估值方法</w:t>
      </w:r>
    </w:p>
    <w:p w14:paraId="20589CD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（1）证券交易所上市的有价证券的估值</w:t>
      </w:r>
    </w:p>
    <w:p w14:paraId="0286736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7B06C55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2）交易所上市交易或挂牌转让的不含</w:t>
      </w:r>
      <w:proofErr w:type="gramStart"/>
      <w:r>
        <w:rPr>
          <w:rFonts w:ascii="宋体" w:hAnsi="宋体" w:hint="eastAsia"/>
          <w:sz w:val="24"/>
        </w:rPr>
        <w:t>权固定</w:t>
      </w:r>
      <w:proofErr w:type="gramEnd"/>
      <w:r>
        <w:rPr>
          <w:rFonts w:ascii="宋体" w:hAnsi="宋体" w:hint="eastAsia"/>
          <w:sz w:val="24"/>
        </w:rPr>
        <w:t>收益品种，选取估值日第三方估值机构提供的相应品种当日的估值净价进行估值；</w:t>
      </w:r>
    </w:p>
    <w:p w14:paraId="4DCE2D1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3）交易所上市交易或挂牌转让的含</w:t>
      </w:r>
      <w:proofErr w:type="gramStart"/>
      <w:r>
        <w:rPr>
          <w:rFonts w:ascii="宋体" w:hAnsi="宋体" w:hint="eastAsia"/>
          <w:sz w:val="24"/>
        </w:rPr>
        <w:t>权固定</w:t>
      </w:r>
      <w:proofErr w:type="gramEnd"/>
      <w:r>
        <w:rPr>
          <w:rFonts w:ascii="宋体" w:hAnsi="宋体" w:hint="eastAsia"/>
          <w:sz w:val="24"/>
        </w:rPr>
        <w:t>收益品种，选取估值日第三方估值机构提供的相应品种当日的唯一估值净价或推荐估值净价进行估值；</w:t>
      </w:r>
    </w:p>
    <w:p w14:paraId="79A3E36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交易所上市交易的可转换债券以每日收盘价作为估值全价；交易所上市实行全价交易的债券（可转债除外），选取第三方估值机构提供的估值全价减去估值全价中所含的债券（税后）应收利息得到的净价进行估值；</w:t>
      </w:r>
    </w:p>
    <w:p w14:paraId="1F58CF4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5）交易所上市不存在活跃市场的有价证券，采用估值技术确定公允价值。</w:t>
      </w:r>
    </w:p>
    <w:p w14:paraId="2D1481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06C7593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（2）处于未上市期间的有价证券应区分如下情况处理：</w:t>
      </w:r>
    </w:p>
    <w:p w14:paraId="28B6BA4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1）送股、转增股、配股和公开增发的新股，按估值日在证券交易所挂牌的同一股票的估值方法估值；该日无交易的，以最近一日的市价（收盘价）估值；</w:t>
      </w:r>
    </w:p>
    <w:p w14:paraId="0515C03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2）首次公开发行未上市的股票、债券，采用估值技术确定公允价值，在估值技术难以可靠计量公允价值的情况下，按成本估值。</w:t>
      </w:r>
    </w:p>
    <w:p w14:paraId="2E7CBAB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rFonts w:ascii="宋体" w:hAnsi="宋体" w:hint="eastAsia"/>
          <w:sz w:val="24"/>
        </w:rPr>
        <w:t>券</w:t>
      </w:r>
      <w:proofErr w:type="gramEnd"/>
      <w:r>
        <w:rPr>
          <w:rFonts w:ascii="宋体" w:hAnsi="宋体" w:hint="eastAsia"/>
          <w:sz w:val="24"/>
        </w:rPr>
        <w:t>等流通受限股票，按监管机构或行业协会有关规定确定公允价值。</w:t>
      </w:r>
    </w:p>
    <w:p w14:paraId="02135D5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3BF187A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（4）同一债券或股票同时在两个或两个以上市场交易的，按债券或股票所</w:t>
      </w:r>
      <w:r>
        <w:rPr>
          <w:rFonts w:ascii="宋体" w:hAnsi="宋体" w:hint="eastAsia"/>
          <w:sz w:val="24"/>
        </w:rPr>
        <w:lastRenderedPageBreak/>
        <w:t>处的市场分别估值。</w:t>
      </w:r>
    </w:p>
    <w:p w14:paraId="3BEF28A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（5）同业存单按估值日第三方估值机构提供的估值净价估值；选定的第三方估值机构未提供估值价格的，按成本估值。</w:t>
      </w:r>
    </w:p>
    <w:p w14:paraId="60F87F7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（6）本基金投资股指期货合约，一般以估值当日结算价进行估值，估值当日无结算价的，且最近交易日后经济环境未发生重大变化的，采用最近交易日结算价估值。</w:t>
      </w:r>
    </w:p>
    <w:p w14:paraId="383ED36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（7）估值计算中涉及港币对人民币汇率的，将依据下列信息提供机构所提供的汇率为准：当日中国人民银行公布的人民币与港币的中间价。</w:t>
      </w:r>
    </w:p>
    <w:p w14:paraId="5D418BE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（8）如有确凿证据表明按上述方法进行估值不能客观反映其公允价值的，基金管理人可根据具体情况与基金托管人商定后，按最能反映公允价值的价格估值。</w:t>
      </w:r>
    </w:p>
    <w:p w14:paraId="36A0390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（9）当本基金发生大额申购或赎回情形时，基金管理人可以采用摆动定价机制，以确保基金估值的公平性，具体处理原则与操作规范遵循相关法律法规以及监管部门、自律规则的规定。</w:t>
      </w:r>
    </w:p>
    <w:p w14:paraId="3BB9099A" w14:textId="77777777" w:rsidR="008A6127" w:rsidRDefault="00437D9F">
      <w:pPr>
        <w:spacing w:line="360" w:lineRule="auto"/>
        <w:ind w:firstLineChars="200" w:firstLine="480"/>
        <w:rPr>
          <w:rFonts w:ascii="宋体" w:hAnsi="宋体"/>
          <w:bCs/>
          <w:sz w:val="24"/>
        </w:rPr>
      </w:pPr>
      <w:r>
        <w:rPr>
          <w:rFonts w:ascii="宋体" w:hAnsi="宋体" w:hint="eastAsia"/>
          <w:sz w:val="24"/>
        </w:rPr>
        <w:t>（1</w:t>
      </w:r>
      <w:r>
        <w:rPr>
          <w:rFonts w:ascii="宋体" w:hAnsi="宋体"/>
          <w:sz w:val="24"/>
        </w:rPr>
        <w:t>0</w:t>
      </w:r>
      <w:r>
        <w:rPr>
          <w:rFonts w:ascii="宋体" w:hAnsi="宋体" w:hint="eastAsia"/>
          <w:sz w:val="24"/>
        </w:rPr>
        <w:t>）</w:t>
      </w:r>
      <w:r>
        <w:rPr>
          <w:rFonts w:ascii="宋体" w:hAnsi="宋体" w:hint="eastAsia"/>
          <w:bCs/>
          <w:sz w:val="24"/>
        </w:rPr>
        <w:t>本基金投资存托凭证的估值核算，依照境内上市交易的股票执行。</w:t>
      </w:r>
    </w:p>
    <w:p w14:paraId="44B2320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（11）相关法律法规以及监管部门有强制规定的，从其规定。如有新增事项，按国家最新规定估值。</w:t>
      </w:r>
    </w:p>
    <w:p w14:paraId="03365BF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5773AEC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0C051F8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2、估值程序</w:t>
      </w:r>
    </w:p>
    <w:p w14:paraId="3B96511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各类基金份额净值是按照每个工作日闭市后，该类基金资产净值除以当日该类基金份额的余额数量计算，精确到0.0001元，小数点后第5位四舍五入，由此产生的收益或损失由基金财产承担。基金管理人可以设立大额赎回情形下的净值精度应急调整机制。国家另有规定的，从其规定。</w:t>
      </w:r>
    </w:p>
    <w:p w14:paraId="10B2705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w:t>
      </w:r>
      <w:proofErr w:type="gramStart"/>
      <w:r>
        <w:rPr>
          <w:rFonts w:ascii="宋体" w:hAnsi="宋体" w:hint="eastAsia"/>
          <w:sz w:val="24"/>
        </w:rPr>
        <w:t>应每个</w:t>
      </w:r>
      <w:proofErr w:type="gramEnd"/>
      <w:r>
        <w:rPr>
          <w:rFonts w:ascii="宋体" w:hAnsi="宋体" w:hint="eastAsia"/>
          <w:sz w:val="24"/>
        </w:rPr>
        <w:t>工作日计算基金资产净值及各类别基金份额净值，并按规</w:t>
      </w:r>
      <w:r>
        <w:rPr>
          <w:rFonts w:ascii="宋体" w:hAnsi="宋体" w:hint="eastAsia"/>
          <w:sz w:val="24"/>
        </w:rPr>
        <w:lastRenderedPageBreak/>
        <w:t>定公告。</w:t>
      </w:r>
    </w:p>
    <w:p w14:paraId="288BC8C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（2）基金管理人</w:t>
      </w:r>
      <w:proofErr w:type="gramStart"/>
      <w:r>
        <w:rPr>
          <w:rFonts w:ascii="宋体" w:hAnsi="宋体" w:hint="eastAsia"/>
          <w:sz w:val="24"/>
        </w:rPr>
        <w:t>应每个</w:t>
      </w:r>
      <w:proofErr w:type="gramEnd"/>
      <w:r>
        <w:rPr>
          <w:rFonts w:ascii="宋体" w:hAnsi="宋体" w:hint="eastAsia"/>
          <w:sz w:val="24"/>
        </w:rPr>
        <w:t>工作日对基金资产估值。但基金管理人根据法律法规或基金合同的规定暂停估值时除外。基金管理人每个工作日对基金资产估值后，将各类别基金份额净值结果发送基金托管人，经基金托管人复核无误后，由基金管理人对外公布。</w:t>
      </w:r>
    </w:p>
    <w:p w14:paraId="15A1CBE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3、暂停估值的情形</w:t>
      </w:r>
    </w:p>
    <w:p w14:paraId="7B18992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（1）基金投资所涉及的证券/期货交易市场遇法定节假日或因其他原因暂停营业时；</w:t>
      </w:r>
    </w:p>
    <w:p w14:paraId="79B7B85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（2）因不可抗力致使基金管理人、基金托管人无法准确评估基金资产价值时；</w:t>
      </w:r>
    </w:p>
    <w:p w14:paraId="1827DFB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（3）当前一估值日基金资产净值 50%以上的资产出现无可参考的活跃市场价格且采用估值技术</w:t>
      </w:r>
      <w:proofErr w:type="gramStart"/>
      <w:r>
        <w:rPr>
          <w:rFonts w:ascii="宋体" w:hAnsi="宋体" w:hint="eastAsia"/>
          <w:sz w:val="24"/>
        </w:rPr>
        <w:t>仍导致</w:t>
      </w:r>
      <w:proofErr w:type="gramEnd"/>
      <w:r>
        <w:rPr>
          <w:rFonts w:ascii="宋体" w:hAnsi="宋体" w:hint="eastAsia"/>
          <w:sz w:val="24"/>
        </w:rPr>
        <w:t>公允价值存在重大不确定性时，经与基金托管人协商确认后，基金管理人应当暂停估值；</w:t>
      </w:r>
    </w:p>
    <w:p w14:paraId="4CBE179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（4）法律法规、中国证监会和基金合同认定的其它情形。</w:t>
      </w:r>
    </w:p>
    <w:p w14:paraId="339AF65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4、基金净值信息</w:t>
      </w:r>
    </w:p>
    <w:p w14:paraId="5AE900DB" w14:textId="77777777" w:rsidR="008A6127" w:rsidRDefault="00437D9F">
      <w:pPr>
        <w:snapToGrid w:val="0"/>
        <w:spacing w:line="360" w:lineRule="auto"/>
        <w:ind w:firstLineChars="200" w:firstLine="480"/>
        <w:rPr>
          <w:rFonts w:ascii="宋体" w:hAnsi="宋体"/>
          <w:sz w:val="24"/>
        </w:rPr>
      </w:pPr>
      <w:r>
        <w:rPr>
          <w:rFonts w:ascii="宋体" w:hAnsi="宋体"/>
          <w:sz w:val="24"/>
        </w:rPr>
        <w:t>《基金合同》生效后，在开始办理基金份额申购或者赎回前，基金管理人应当至少每周</w:t>
      </w:r>
      <w:r>
        <w:rPr>
          <w:rFonts w:ascii="宋体" w:hAnsi="宋体" w:hint="eastAsia"/>
          <w:sz w:val="24"/>
        </w:rPr>
        <w:t>在指定网站披露</w:t>
      </w:r>
      <w:r>
        <w:rPr>
          <w:rFonts w:ascii="宋体" w:hAnsi="宋体"/>
          <w:sz w:val="24"/>
        </w:rPr>
        <w:t>一次</w:t>
      </w:r>
      <w:r>
        <w:rPr>
          <w:rFonts w:ascii="宋体" w:hAnsi="宋体" w:hint="eastAsia"/>
          <w:sz w:val="24"/>
        </w:rPr>
        <w:t>各类基金份额的</w:t>
      </w:r>
      <w:r>
        <w:rPr>
          <w:rFonts w:ascii="宋体" w:hAnsi="宋体"/>
          <w:sz w:val="24"/>
        </w:rPr>
        <w:t>基金份额净值</w:t>
      </w:r>
      <w:r>
        <w:rPr>
          <w:rFonts w:ascii="宋体" w:hAnsi="宋体" w:hint="eastAsia"/>
          <w:sz w:val="24"/>
        </w:rPr>
        <w:t>、基金份额累计净值</w:t>
      </w:r>
      <w:r>
        <w:rPr>
          <w:rFonts w:ascii="宋体" w:hAnsi="宋体"/>
          <w:sz w:val="24"/>
        </w:rPr>
        <w:t>。</w:t>
      </w:r>
    </w:p>
    <w:p w14:paraId="37D2B391" w14:textId="77777777" w:rsidR="008A6127" w:rsidRDefault="00437D9F">
      <w:pPr>
        <w:snapToGrid w:val="0"/>
        <w:spacing w:line="360" w:lineRule="auto"/>
        <w:ind w:firstLineChars="200" w:firstLine="480"/>
        <w:rPr>
          <w:rFonts w:ascii="宋体" w:hAnsi="宋体"/>
          <w:sz w:val="24"/>
        </w:rPr>
      </w:pPr>
      <w:r>
        <w:rPr>
          <w:rFonts w:ascii="宋体" w:hAnsi="宋体"/>
          <w:sz w:val="24"/>
        </w:rPr>
        <w:t>在开始办理基金份额申购或者赎回后，基金管理人应当在</w:t>
      </w:r>
      <w:r>
        <w:rPr>
          <w:rFonts w:ascii="宋体" w:hAnsi="宋体" w:hint="eastAsia"/>
          <w:sz w:val="24"/>
        </w:rPr>
        <w:t>不晚于</w:t>
      </w:r>
      <w:r>
        <w:rPr>
          <w:rFonts w:ascii="宋体" w:hAnsi="宋体"/>
          <w:sz w:val="24"/>
        </w:rPr>
        <w:t>每个开放日的次日，通过</w:t>
      </w:r>
      <w:r>
        <w:rPr>
          <w:rFonts w:ascii="宋体" w:hAnsi="宋体" w:hint="eastAsia"/>
          <w:sz w:val="24"/>
        </w:rPr>
        <w:t>指定</w:t>
      </w:r>
      <w:r>
        <w:rPr>
          <w:rFonts w:ascii="宋体" w:hAnsi="宋体"/>
          <w:sz w:val="24"/>
        </w:rPr>
        <w:t>网站、基金</w:t>
      </w:r>
      <w:r>
        <w:rPr>
          <w:rFonts w:ascii="宋体" w:hAnsi="宋体" w:hint="eastAsia"/>
          <w:sz w:val="24"/>
        </w:rPr>
        <w:t>销售机构网站或者营业网点</w:t>
      </w:r>
      <w:r>
        <w:rPr>
          <w:rFonts w:ascii="宋体" w:hAnsi="宋体"/>
          <w:sz w:val="24"/>
        </w:rPr>
        <w:t>，披露开放日</w:t>
      </w:r>
      <w:r>
        <w:rPr>
          <w:rFonts w:ascii="宋体" w:hAnsi="宋体" w:hint="eastAsia"/>
          <w:sz w:val="24"/>
        </w:rPr>
        <w:t>各类基金份额</w:t>
      </w:r>
      <w:r>
        <w:rPr>
          <w:rFonts w:ascii="宋体" w:hAnsi="宋体"/>
          <w:sz w:val="24"/>
        </w:rPr>
        <w:t>的基金份额净值和基金份额累计净值。</w:t>
      </w:r>
    </w:p>
    <w:p w14:paraId="293F8BA2" w14:textId="77777777" w:rsidR="008A6127" w:rsidRDefault="00437D9F">
      <w:pPr>
        <w:snapToGrid w:val="0"/>
        <w:spacing w:line="360" w:lineRule="auto"/>
        <w:ind w:firstLineChars="200" w:firstLine="480"/>
        <w:rPr>
          <w:rFonts w:ascii="宋体" w:hAnsi="宋体"/>
          <w:sz w:val="24"/>
        </w:rPr>
      </w:pPr>
      <w:r>
        <w:rPr>
          <w:rFonts w:ascii="宋体" w:hAnsi="宋体"/>
          <w:sz w:val="24"/>
        </w:rPr>
        <w:t>基金管理人应当</w:t>
      </w:r>
      <w:r>
        <w:rPr>
          <w:rFonts w:ascii="宋体" w:hAnsi="宋体" w:hint="eastAsia"/>
          <w:sz w:val="24"/>
        </w:rPr>
        <w:t>在不晚于半年度和年度最后一日的次日，在指定网站披露半年度和年度最后一日各类别基金份额净值和基金份额累计净值。</w:t>
      </w:r>
    </w:p>
    <w:p w14:paraId="05DC840C"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（七）基金合同变更、解除和终止的事由、程序以及基金财产清算方式</w:t>
      </w:r>
    </w:p>
    <w:p w14:paraId="77C26AB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1、《基金合同》的变更</w:t>
      </w:r>
    </w:p>
    <w:p w14:paraId="7883FA3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（1）变更基金合同涉及法律法规规定或《基金合同》约定应经基金份额持有人大会决议通过的事项的，应召</w:t>
      </w:r>
      <w:proofErr w:type="gramStart"/>
      <w:r>
        <w:rPr>
          <w:rFonts w:ascii="宋体" w:hAnsi="宋体" w:hint="eastAsia"/>
          <w:sz w:val="24"/>
        </w:rPr>
        <w:t>开基金</w:t>
      </w:r>
      <w:proofErr w:type="gramEnd"/>
      <w:r>
        <w:rPr>
          <w:rFonts w:ascii="宋体" w:hAnsi="宋体" w:hint="eastAsia"/>
          <w:sz w:val="24"/>
        </w:rPr>
        <w:t>份额持有人大会决议通过。对于法律法规规定和基金合同约定可不经基金份额持有人大会决议通过的事项，由基金管理人和基金托管人同意后变更并公告，并报中国证监会备案。</w:t>
      </w:r>
    </w:p>
    <w:p w14:paraId="7A22073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（2）关于《基金合同》变更的基金份额持有人大会决议自生效后方可执行，</w:t>
      </w:r>
      <w:proofErr w:type="gramStart"/>
      <w:r>
        <w:rPr>
          <w:rFonts w:ascii="宋体" w:hAnsi="宋体" w:hint="eastAsia"/>
          <w:sz w:val="24"/>
        </w:rPr>
        <w:lastRenderedPageBreak/>
        <w:t>自决议</w:t>
      </w:r>
      <w:proofErr w:type="gramEnd"/>
      <w:r>
        <w:rPr>
          <w:rFonts w:ascii="宋体" w:hAnsi="宋体" w:hint="eastAsia"/>
          <w:sz w:val="24"/>
        </w:rPr>
        <w:t>生效后两日内在</w:t>
      </w:r>
      <w:r>
        <w:rPr>
          <w:rFonts w:ascii="宋体" w:hAnsi="宋体"/>
          <w:sz w:val="24"/>
        </w:rPr>
        <w:t>规定媒介</w:t>
      </w:r>
      <w:r>
        <w:rPr>
          <w:rFonts w:ascii="宋体" w:hAnsi="宋体" w:hint="eastAsia"/>
          <w:sz w:val="24"/>
        </w:rPr>
        <w:t>公告。</w:t>
      </w:r>
    </w:p>
    <w:p w14:paraId="067C761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2、《基金合同》的终止事由</w:t>
      </w:r>
    </w:p>
    <w:p w14:paraId="6FCC375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有下列情形之一的，经履行相关程序后，《基金合同》应当终止：</w:t>
      </w:r>
    </w:p>
    <w:p w14:paraId="0873C14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（1）基金份额持有人大会决定终止的；</w:t>
      </w:r>
    </w:p>
    <w:p w14:paraId="5BCB5F8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（2）基金管理人、基金托管人职责终止，在6个月内没有新基金管理人、新基金托管人承接的；</w:t>
      </w:r>
    </w:p>
    <w:p w14:paraId="241D36A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（3）《基金合同》约定的其他情形；</w:t>
      </w:r>
    </w:p>
    <w:p w14:paraId="0FC698B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（4）相关法律法规和中国证监会规定的其他情况。</w:t>
      </w:r>
    </w:p>
    <w:p w14:paraId="50DE25A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3、基金财产的清算</w:t>
      </w:r>
    </w:p>
    <w:p w14:paraId="7556A0A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（1）基金财产清算小组：自出现《基金合同》终止事由之日起30个工作日内成立清算小组，基金管理人或临时基金管理人组织基金财产清算小组并在中国证监会的监督下进行基金清算。</w:t>
      </w:r>
    </w:p>
    <w:p w14:paraId="175EEB1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财产清算小组组成：基金财产清算小组成员由基金管理人或临时基金管理人、基金托管人、具有从事证券、期货相关业务资格的注册会计师、律师以及中国证监会指定的人员组成。基金财产清算小组可以聘用必要的工作人员。</w:t>
      </w:r>
    </w:p>
    <w:p w14:paraId="2F6E582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（3）基金财产清算小组职责：基金财产清算小组负责基金财产的保管、清理、估价、变现和分配。基金财产清算小组可以依法进行必要的民事活动。</w:t>
      </w:r>
    </w:p>
    <w:p w14:paraId="3737C45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（4）基金财产清算程序：</w:t>
      </w:r>
    </w:p>
    <w:p w14:paraId="71748CC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1）《基金合同》终止情形出现时，由基金财产清算小组统一接管基金；</w:t>
      </w:r>
    </w:p>
    <w:p w14:paraId="1F49B79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2）对基金财产和债权债务进行清理和确认；</w:t>
      </w:r>
    </w:p>
    <w:p w14:paraId="6A13E02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3）对基金财产进行估值和变现；</w:t>
      </w:r>
    </w:p>
    <w:p w14:paraId="178B5E5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4）制作清算报告；</w:t>
      </w:r>
    </w:p>
    <w:p w14:paraId="58AFC49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5）聘请会计师事务所对清算报告进行外部审计，聘请律师事务所对清算报告出具法律意见书；</w:t>
      </w:r>
    </w:p>
    <w:p w14:paraId="6A16A90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6）将清算报告报中国证监会备案并公告；</w:t>
      </w:r>
    </w:p>
    <w:p w14:paraId="025F644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7）对基金剩余财产进行分配。</w:t>
      </w:r>
    </w:p>
    <w:p w14:paraId="2096155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（5）基金财产清算的期限为6个月，但因本基金所持证券的流动性受到限制而不能及时变现的，清算期限相应顺延。</w:t>
      </w:r>
    </w:p>
    <w:p w14:paraId="38BD6A86"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（八）争议解决方式</w:t>
      </w:r>
    </w:p>
    <w:p w14:paraId="55AC5ED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各方当事人同意，因《基金合同》而产生的或与《基金合同》有关的一切争</w:t>
      </w:r>
      <w:r>
        <w:rPr>
          <w:rFonts w:ascii="宋体" w:hAnsi="宋体" w:hint="eastAsia"/>
          <w:sz w:val="24"/>
        </w:rPr>
        <w:lastRenderedPageBreak/>
        <w:t>议，如经友好协商未能解决的，任何一方均有权将争议提交深圳国际仲裁院，按照届时有效的仲裁规则进行仲裁，仲裁地点为深圳市。仲裁裁决是终局性的并对各方当事人均具有约束力。除非仲裁裁决另有规定，仲裁费由败诉方承担。</w:t>
      </w:r>
    </w:p>
    <w:p w14:paraId="50BF0E8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争议处理期间，基金合同当事人应恪守各自的职责，继续忠实、勤勉、尽责地履行《基金合同》规定的义务，维护基金份额持有人的合法权益。</w:t>
      </w:r>
    </w:p>
    <w:p w14:paraId="4C9C781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《基金合同》受中国法律（不含港澳台地区法律）管辖。</w:t>
      </w:r>
    </w:p>
    <w:p w14:paraId="29B86659"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（九）基金合同存放地和投资者取得基金合同的方式</w:t>
      </w:r>
    </w:p>
    <w:p w14:paraId="223B233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《基金合同》正本一式三份，除上报有关监管机构一份外，基金管理人、基金托管人各持有一份，每份具有同等的法律效力。</w:t>
      </w:r>
    </w:p>
    <w:p w14:paraId="51C21E3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《基金合同》可印制成册，供投资者在基金管理人、基金托管人、销售机构的办公场所和营业场所查阅。</w:t>
      </w:r>
    </w:p>
    <w:p w14:paraId="1F0DF0C9" w14:textId="77777777" w:rsidR="008A6127" w:rsidRDefault="008A6127">
      <w:pPr>
        <w:snapToGrid w:val="0"/>
        <w:spacing w:line="360" w:lineRule="auto"/>
        <w:rPr>
          <w:rFonts w:ascii="Cambria" w:hAnsi="Cambria"/>
        </w:rPr>
        <w:sectPr w:rsidR="008A6127">
          <w:pgSz w:w="11906" w:h="16838"/>
          <w:pgMar w:top="1440" w:right="1800" w:bottom="1440" w:left="1800" w:header="851" w:footer="992" w:gutter="0"/>
          <w:cols w:space="720"/>
          <w:docGrid w:type="lines" w:linePitch="312"/>
        </w:sectPr>
      </w:pPr>
    </w:p>
    <w:p w14:paraId="74DB0976"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bookmarkStart w:id="425" w:name="_Toc29186"/>
      <w:bookmarkStart w:id="426" w:name="_Toc405455136"/>
      <w:bookmarkStart w:id="427" w:name="_Toc360793863"/>
      <w:bookmarkStart w:id="428" w:name="_Toc6238"/>
      <w:bookmarkStart w:id="429" w:name="_Toc7978"/>
      <w:bookmarkStart w:id="430" w:name="_Toc5747"/>
      <w:bookmarkStart w:id="431" w:name="_Toc362533468"/>
      <w:bookmarkStart w:id="432" w:name="_Toc360794113"/>
      <w:bookmarkStart w:id="433" w:name="_Toc2052"/>
      <w:bookmarkStart w:id="434" w:name="_Toc362455196"/>
      <w:bookmarkStart w:id="435" w:name="_Toc360793511"/>
      <w:bookmarkStart w:id="436" w:name="_Toc421532562"/>
      <w:bookmarkStart w:id="437" w:name="_Toc360794421"/>
      <w:bookmarkStart w:id="438" w:name="_Toc360794529"/>
      <w:bookmarkStart w:id="439" w:name="_Toc204678799"/>
      <w:r>
        <w:rPr>
          <w:rFonts w:ascii="Cambria" w:hAnsi="Cambria" w:hint="eastAsia"/>
          <w:sz w:val="32"/>
          <w:szCs w:val="32"/>
        </w:rPr>
        <w:lastRenderedPageBreak/>
        <w:t>基金托管协议的内容摘要</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1206E7C9" w14:textId="77777777" w:rsidR="008A6127" w:rsidRDefault="00437D9F">
      <w:pPr>
        <w:snapToGrid w:val="0"/>
        <w:spacing w:line="360" w:lineRule="auto"/>
        <w:ind w:firstLineChars="200" w:firstLine="482"/>
        <w:rPr>
          <w:rFonts w:ascii="宋体" w:hAnsi="宋体"/>
          <w:b/>
          <w:kern w:val="0"/>
          <w:sz w:val="24"/>
        </w:rPr>
      </w:pPr>
      <w:bookmarkStart w:id="440" w:name="_Toc421532563"/>
      <w:bookmarkStart w:id="441" w:name="_Toc26523"/>
      <w:bookmarkStart w:id="442" w:name="_Toc32394"/>
      <w:r>
        <w:rPr>
          <w:rFonts w:ascii="宋体" w:hAnsi="宋体" w:hint="eastAsia"/>
          <w:b/>
          <w:kern w:val="0"/>
          <w:sz w:val="24"/>
        </w:rPr>
        <w:t>（一）基金托管协议当事人</w:t>
      </w:r>
      <w:bookmarkEnd w:id="440"/>
      <w:bookmarkEnd w:id="441"/>
      <w:bookmarkEnd w:id="442"/>
    </w:p>
    <w:p w14:paraId="2DF6BD7F" w14:textId="77777777" w:rsidR="008A6127" w:rsidRDefault="00437D9F">
      <w:pPr>
        <w:snapToGrid w:val="0"/>
        <w:spacing w:line="360" w:lineRule="auto"/>
        <w:ind w:firstLineChars="200" w:firstLine="480"/>
        <w:rPr>
          <w:rFonts w:ascii="宋体" w:hAnsi="宋体"/>
          <w:sz w:val="24"/>
        </w:rPr>
      </w:pPr>
      <w:bookmarkStart w:id="443" w:name="_Toc22454433"/>
      <w:bookmarkStart w:id="444" w:name="_Toc77662992"/>
      <w:r>
        <w:rPr>
          <w:rFonts w:ascii="宋体" w:hAnsi="宋体" w:hint="eastAsia"/>
          <w:sz w:val="24"/>
        </w:rPr>
        <w:t>1、基金管理人</w:t>
      </w:r>
      <w:bookmarkEnd w:id="443"/>
      <w:bookmarkEnd w:id="444"/>
    </w:p>
    <w:p w14:paraId="6DD082CE" w14:textId="77777777" w:rsidR="008A6127" w:rsidRDefault="00437D9F">
      <w:pPr>
        <w:snapToGrid w:val="0"/>
        <w:spacing w:line="360" w:lineRule="auto"/>
        <w:ind w:firstLineChars="200" w:firstLine="480"/>
        <w:rPr>
          <w:rFonts w:ascii="宋体" w:hAnsi="宋体"/>
          <w:sz w:val="24"/>
        </w:rPr>
      </w:pPr>
      <w:bookmarkStart w:id="445" w:name="_Toc22454434"/>
      <w:bookmarkStart w:id="446" w:name="_Toc77662993"/>
      <w:r>
        <w:rPr>
          <w:rFonts w:ascii="宋体" w:hAnsi="宋体" w:hint="eastAsia"/>
          <w:sz w:val="24"/>
        </w:rPr>
        <w:t>名称：朱雀管理有限公司</w:t>
      </w:r>
    </w:p>
    <w:p w14:paraId="7337189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住所：西安经济技术开发区草滩生态产业园尚</w:t>
      </w:r>
      <w:proofErr w:type="gramStart"/>
      <w:r>
        <w:rPr>
          <w:rFonts w:ascii="宋体" w:hAnsi="宋体" w:hint="eastAsia"/>
          <w:sz w:val="24"/>
        </w:rPr>
        <w:t>稷</w:t>
      </w:r>
      <w:proofErr w:type="gramEnd"/>
      <w:r>
        <w:rPr>
          <w:rFonts w:ascii="宋体" w:hAnsi="宋体" w:hint="eastAsia"/>
          <w:sz w:val="24"/>
        </w:rPr>
        <w:t xml:space="preserve">路8号一栋二楼 </w:t>
      </w:r>
    </w:p>
    <w:p w14:paraId="23B7272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办公地址：上海市浦东新区海阳西路555号前</w:t>
      </w:r>
      <w:proofErr w:type="gramStart"/>
      <w:r>
        <w:rPr>
          <w:rFonts w:ascii="宋体" w:hAnsi="宋体" w:hint="eastAsia"/>
          <w:sz w:val="24"/>
        </w:rPr>
        <w:t>滩中心</w:t>
      </w:r>
      <w:proofErr w:type="gramEnd"/>
      <w:r>
        <w:rPr>
          <w:rFonts w:ascii="宋体" w:hAnsi="宋体" w:hint="eastAsia"/>
          <w:sz w:val="24"/>
        </w:rPr>
        <w:t>58层</w:t>
      </w:r>
    </w:p>
    <w:p w14:paraId="4465FC5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邮政编码：2</w:t>
      </w:r>
      <w:r>
        <w:rPr>
          <w:rFonts w:ascii="宋体" w:hAnsi="宋体"/>
          <w:sz w:val="24"/>
        </w:rPr>
        <w:t>01204</w:t>
      </w:r>
    </w:p>
    <w:p w14:paraId="178DF15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法定代表人：梁跃军</w:t>
      </w:r>
    </w:p>
    <w:p w14:paraId="3B7073B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成立时间：2018年10月25日</w:t>
      </w:r>
    </w:p>
    <w:p w14:paraId="6415116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批准设立机关：中国证券监督管理委员会</w:t>
      </w:r>
    </w:p>
    <w:p w14:paraId="1749339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批准设立文号：中国证监会证监许可[2018]1496号</w:t>
      </w:r>
    </w:p>
    <w:p w14:paraId="6E4C46B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组织形式： 其他有限责任公司</w:t>
      </w:r>
    </w:p>
    <w:p w14:paraId="7F42FE0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注册资本： 壹亿伍仟万元人民币</w:t>
      </w:r>
    </w:p>
    <w:p w14:paraId="4817468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存续期间：长期</w:t>
      </w:r>
    </w:p>
    <w:p w14:paraId="3FF88A1F" w14:textId="222EE014" w:rsidR="008A6127" w:rsidRDefault="00437D9F">
      <w:pPr>
        <w:snapToGrid w:val="0"/>
        <w:spacing w:line="360" w:lineRule="auto"/>
        <w:ind w:firstLineChars="200" w:firstLine="480"/>
        <w:rPr>
          <w:rFonts w:ascii="宋体" w:hAnsi="宋体"/>
          <w:sz w:val="24"/>
        </w:rPr>
      </w:pPr>
      <w:r>
        <w:rPr>
          <w:rFonts w:ascii="宋体" w:hAnsi="宋体" w:hint="eastAsia"/>
          <w:sz w:val="24"/>
        </w:rPr>
        <w:t>经营范围：一般项目：*许可项目：公</w:t>
      </w:r>
      <w:proofErr w:type="gramStart"/>
      <w:r>
        <w:rPr>
          <w:rFonts w:ascii="宋体" w:hAnsi="宋体" w:hint="eastAsia"/>
          <w:sz w:val="24"/>
        </w:rPr>
        <w:t>募基金</w:t>
      </w:r>
      <w:proofErr w:type="gramEnd"/>
      <w:r>
        <w:rPr>
          <w:rFonts w:ascii="宋体" w:hAnsi="宋体" w:hint="eastAsia"/>
          <w:sz w:val="24"/>
        </w:rPr>
        <w:t>管理业务（公开募集基金的管理、基金募集、基金销售、资产管理、特定客户资产管理和中国证监会许可的其他业务）。(依法须经批准的项目，经相关部门批准后方可开展经营活动，具体经营项目以审批结果为准)。(除依法须经批准的项目外，凭营业执照依法自主开展经营活动)</w:t>
      </w:r>
    </w:p>
    <w:p w14:paraId="3CD79723"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、基金托管人</w:t>
      </w:r>
      <w:bookmarkEnd w:id="445"/>
      <w:bookmarkEnd w:id="446"/>
    </w:p>
    <w:p w14:paraId="35CDE55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名称：招商银行股份有限公司(简称：招商银行)</w:t>
      </w:r>
    </w:p>
    <w:p w14:paraId="36E338D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住所：深圳市深南大道7088号招商银行大厦</w:t>
      </w:r>
    </w:p>
    <w:p w14:paraId="4608062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办公地址：深圳市深南大道7088号招商银行大厦</w:t>
      </w:r>
    </w:p>
    <w:p w14:paraId="3CE066D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邮政编码：518040</w:t>
      </w:r>
    </w:p>
    <w:p w14:paraId="07D66F8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法定代表人：缪建民</w:t>
      </w:r>
    </w:p>
    <w:p w14:paraId="48810F3E" w14:textId="440F80BE" w:rsidR="008A6127" w:rsidRDefault="00437D9F">
      <w:pPr>
        <w:snapToGrid w:val="0"/>
        <w:spacing w:line="360" w:lineRule="auto"/>
        <w:ind w:firstLineChars="200" w:firstLine="480"/>
        <w:rPr>
          <w:rFonts w:ascii="宋体" w:hAnsi="宋体"/>
          <w:sz w:val="24"/>
        </w:rPr>
      </w:pPr>
      <w:r>
        <w:rPr>
          <w:rFonts w:ascii="宋体" w:hAnsi="宋体" w:hint="eastAsia"/>
          <w:sz w:val="24"/>
        </w:rPr>
        <w:t>成立时间：</w:t>
      </w:r>
      <w:r w:rsidR="009C2403">
        <w:rPr>
          <w:rFonts w:ascii="宋体" w:hAnsi="宋体" w:hint="eastAsia"/>
          <w:sz w:val="24"/>
        </w:rPr>
        <w:t>1987年</w:t>
      </w:r>
      <w:r w:rsidR="009C2403">
        <w:rPr>
          <w:rFonts w:ascii="宋体" w:hAnsi="宋体"/>
          <w:sz w:val="24"/>
        </w:rPr>
        <w:t>3</w:t>
      </w:r>
      <w:r>
        <w:rPr>
          <w:rFonts w:ascii="宋体" w:hAnsi="宋体" w:hint="eastAsia"/>
          <w:sz w:val="24"/>
        </w:rPr>
        <w:t>月</w:t>
      </w:r>
      <w:r w:rsidR="009C2403">
        <w:rPr>
          <w:rFonts w:ascii="宋体" w:hAnsi="宋体"/>
          <w:sz w:val="24"/>
        </w:rPr>
        <w:t>31</w:t>
      </w:r>
      <w:r>
        <w:rPr>
          <w:rFonts w:ascii="宋体" w:hAnsi="宋体" w:hint="eastAsia"/>
          <w:sz w:val="24"/>
        </w:rPr>
        <w:t>日</w:t>
      </w:r>
    </w:p>
    <w:p w14:paraId="1A3293C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基金托管业务批准文号：证</w:t>
      </w:r>
      <w:proofErr w:type="gramStart"/>
      <w:r>
        <w:rPr>
          <w:rFonts w:ascii="宋体" w:hAnsi="宋体" w:hint="eastAsia"/>
          <w:sz w:val="24"/>
        </w:rPr>
        <w:t>监基金字</w:t>
      </w:r>
      <w:proofErr w:type="gramEnd"/>
      <w:r>
        <w:rPr>
          <w:rFonts w:ascii="宋体" w:hAnsi="宋体" w:hint="eastAsia"/>
          <w:sz w:val="24"/>
        </w:rPr>
        <w:t>[2002]83号</w:t>
      </w:r>
    </w:p>
    <w:p w14:paraId="215BA2A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组织形式：股份有限公司</w:t>
      </w:r>
    </w:p>
    <w:p w14:paraId="537C332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注册资本：人民币252.20亿元</w:t>
      </w:r>
    </w:p>
    <w:p w14:paraId="5EC2CEA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存续期间：持续经营</w:t>
      </w:r>
    </w:p>
    <w:p w14:paraId="727FEAE9" w14:textId="77777777" w:rsidR="008A6127" w:rsidRDefault="00437D9F">
      <w:pPr>
        <w:snapToGrid w:val="0"/>
        <w:spacing w:line="360" w:lineRule="auto"/>
        <w:ind w:firstLineChars="200" w:firstLine="482"/>
        <w:rPr>
          <w:rFonts w:ascii="宋体" w:hAnsi="宋体"/>
          <w:b/>
          <w:kern w:val="0"/>
          <w:sz w:val="24"/>
        </w:rPr>
      </w:pPr>
      <w:bookmarkStart w:id="447" w:name="_Toc28633"/>
      <w:bookmarkStart w:id="448" w:name="_Toc421532564"/>
      <w:bookmarkStart w:id="449" w:name="_Toc1629"/>
      <w:r>
        <w:rPr>
          <w:rFonts w:ascii="宋体" w:hAnsi="宋体" w:hint="eastAsia"/>
          <w:b/>
          <w:kern w:val="0"/>
          <w:sz w:val="24"/>
        </w:rPr>
        <w:t>（二）基金托管人对基金管理人的业务监督和核查</w:t>
      </w:r>
      <w:bookmarkEnd w:id="447"/>
      <w:bookmarkEnd w:id="448"/>
      <w:bookmarkEnd w:id="449"/>
    </w:p>
    <w:p w14:paraId="3063D698" w14:textId="77777777" w:rsidR="008A6127" w:rsidRDefault="00437D9F">
      <w:pPr>
        <w:snapToGrid w:val="0"/>
        <w:spacing w:line="360" w:lineRule="auto"/>
        <w:ind w:firstLineChars="200" w:firstLine="480"/>
        <w:rPr>
          <w:rFonts w:ascii="宋体" w:hAnsi="宋体"/>
          <w:sz w:val="24"/>
        </w:rPr>
      </w:pPr>
      <w:bookmarkStart w:id="450" w:name="_Toc11741"/>
      <w:bookmarkStart w:id="451" w:name="_Toc6382"/>
      <w:bookmarkStart w:id="452" w:name="_Toc421532565"/>
      <w:r>
        <w:rPr>
          <w:rFonts w:ascii="宋体" w:hAnsi="宋体" w:hint="eastAsia"/>
          <w:sz w:val="24"/>
        </w:rPr>
        <w:t>1、基金托管人根据有关法律法规的规定以及《基金合同》的约定，对基金投资范围、投资比例、投资限制、关联方交易等进行监督。《基金合同》明确约定基金投资证券选择标准的，基金管理人应</w:t>
      </w:r>
      <w:proofErr w:type="gramStart"/>
      <w:r>
        <w:rPr>
          <w:rFonts w:ascii="宋体" w:hAnsi="宋体" w:hint="eastAsia"/>
          <w:sz w:val="24"/>
        </w:rPr>
        <w:t>事先或</w:t>
      </w:r>
      <w:proofErr w:type="gramEnd"/>
      <w:r>
        <w:rPr>
          <w:rFonts w:ascii="宋体" w:hAnsi="宋体" w:hint="eastAsia"/>
          <w:sz w:val="24"/>
        </w:rPr>
        <w:t>定期向基金托管人提供投资品种池，以便基金托管人对基金实际投资是否符合基金合同关于证券选择标准的约定进行监督。</w:t>
      </w:r>
    </w:p>
    <w:p w14:paraId="012C591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（1）本基金的投资范围为：</w:t>
      </w:r>
    </w:p>
    <w:p w14:paraId="1D619E7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本基金的投资范围为具有良好流动性的金融工具，包括国内依法发行上市的股票（含中小板、创业板及其他经中国证监会核准上市的股票、</w:t>
      </w:r>
      <w:r>
        <w:rPr>
          <w:rFonts w:ascii="宋体" w:hAnsi="宋体" w:hint="eastAsia"/>
          <w:bCs/>
          <w:sz w:val="24"/>
        </w:rPr>
        <w:t>存托凭证</w:t>
      </w:r>
      <w:r>
        <w:rPr>
          <w:rFonts w:ascii="宋体" w:hAnsi="宋体" w:hint="eastAsia"/>
          <w:sz w:val="24"/>
        </w:rPr>
        <w:t>）、港股通标的股票、债券（包括国债、央行票据、金融债券、企业债券、公司债券、中期票据、短期融资</w:t>
      </w:r>
      <w:proofErr w:type="gramStart"/>
      <w:r>
        <w:rPr>
          <w:rFonts w:ascii="宋体" w:hAnsi="宋体" w:hint="eastAsia"/>
          <w:sz w:val="24"/>
        </w:rPr>
        <w:t>券</w:t>
      </w:r>
      <w:proofErr w:type="gramEnd"/>
      <w:r>
        <w:rPr>
          <w:rFonts w:ascii="宋体" w:hAnsi="宋体" w:hint="eastAsia"/>
          <w:sz w:val="24"/>
        </w:rPr>
        <w:t>、超短期融资券、公开发行的次级债券、政府机构债券、地方政府债券、可交换债券、可转换债券（含分离交易可转债</w:t>
      </w:r>
      <w:proofErr w:type="gramStart"/>
      <w:r>
        <w:rPr>
          <w:rFonts w:ascii="宋体" w:hAnsi="宋体" w:hint="eastAsia"/>
          <w:sz w:val="24"/>
        </w:rPr>
        <w:t>的纯债部</w:t>
      </w:r>
      <w:proofErr w:type="gramEnd"/>
      <w:r>
        <w:rPr>
          <w:rFonts w:ascii="宋体" w:hAnsi="宋体" w:hint="eastAsia"/>
          <w:sz w:val="24"/>
        </w:rPr>
        <w:t>分）及其他经中国证监会允许投资的债券）、债券回购、同业存单、银行存款（包括协议存款、定期存款及其他银行存款）、货币市场工具、股指期货以及法律法规或中国证监会允许基金投资的其他金融工具（但须符合中国证监会相关规定）。</w:t>
      </w:r>
    </w:p>
    <w:p w14:paraId="45092B6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如法律法规或监管机构以后允许基金投资其他品种，基金管理人在履行适当程序后，可以将其纳入投资范围。</w:t>
      </w:r>
    </w:p>
    <w:p w14:paraId="0BD2CA2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（2）本基金各类品种的投资比例为：</w:t>
      </w:r>
    </w:p>
    <w:p w14:paraId="30A2E18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本基金投资于股票（</w:t>
      </w:r>
      <w:proofErr w:type="gramStart"/>
      <w:r>
        <w:rPr>
          <w:rFonts w:ascii="宋体" w:hAnsi="宋体" w:hint="eastAsia"/>
          <w:bCs/>
          <w:sz w:val="24"/>
        </w:rPr>
        <w:t>含存托</w:t>
      </w:r>
      <w:proofErr w:type="gramEnd"/>
      <w:r>
        <w:rPr>
          <w:rFonts w:ascii="宋体" w:hAnsi="宋体" w:hint="eastAsia"/>
          <w:bCs/>
          <w:sz w:val="24"/>
        </w:rPr>
        <w:t>凭证</w:t>
      </w:r>
      <w:r>
        <w:rPr>
          <w:rFonts w:ascii="宋体" w:hAnsi="宋体" w:hint="eastAsia"/>
          <w:sz w:val="24"/>
        </w:rPr>
        <w:t>资产，下同）占基金资产的比例为50%-95%，其中投资于港股通标的股票的比例不超过股票资产的50%；每个交易日日终在扣除股指期货合约需缴纳的交易保证金以后，基金保留的现金或投资于到期日在一年以内的政府债券的比例合计不低于基金资产净值的5%，其中现金不包括结算备付金、存出保证金、应收申购款等。</w:t>
      </w:r>
    </w:p>
    <w:p w14:paraId="73B31FA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如法律法规或中国证监会变更投资品种的投资比例限制，基金管理人在履行适当程序后，可以调整上述投资品种的投资比例。</w:t>
      </w:r>
    </w:p>
    <w:p w14:paraId="39D2568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（3）本基金各类品种的投资限制为：</w:t>
      </w:r>
    </w:p>
    <w:p w14:paraId="554E8BD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1）本基金投资于股票占基金资产的比例为50%-95%；其中投资于港股通标的股票的比例不超过股票资产的50%；</w:t>
      </w:r>
    </w:p>
    <w:p w14:paraId="4157177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2）本基金每个交易日日终在扣除股指期货合约需缴纳的交易保证金后，应当保持不低于基金资产净值5％的现金或者到期日在一年以内的政府债券，本基金所指的现金不包括结算备付金、存出保证金、应收申购款等；</w:t>
      </w:r>
    </w:p>
    <w:p w14:paraId="452CD73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3）本基金持有一家公司发行的证券（同一家公司在内地和香港同时上市的A+H股合计计算），其市值不超过基金资产净值的10％；</w:t>
      </w:r>
    </w:p>
    <w:p w14:paraId="6449841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4）本基金管理人管理的全部基金持有一家公司发行的证券（同一家公司在内地和香港同时上市的A+H股合计计算），不超过该证券的10％；</w:t>
      </w:r>
    </w:p>
    <w:p w14:paraId="735E47A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5）基金财产参与股票发行申购，本基金所申报的金额不超过本基金的总资产，本基金所申报的股票数量不超过拟发行股票公司本次发行股票的总量；</w:t>
      </w:r>
    </w:p>
    <w:p w14:paraId="02EF492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6）本基金进入全国银行间同业市场进行债券回购的资金余额不得超过基金资产净值的40%，本基金在全国银行间同业市场中的债券回购最长期限为1年，债券回购到期后不得展期；</w:t>
      </w:r>
    </w:p>
    <w:p w14:paraId="30D535D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7）本基金参与股指期货交易，应当遵循下列要求：</w:t>
      </w:r>
    </w:p>
    <w:p w14:paraId="7E7FD53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①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14:paraId="0924B5B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②本基金在任何交易日日终，持有的买入股指期货合约价值，不得超过基金资产净值的10%；在任何交易日日终，持有的卖出股指期货合约价值不得超过基金持有的股票总市值的20%；本基金在任何交易日内交易（不包括平仓）的股指期货合约的成交金额不得超过上一交易日基金资产净值的20%；本基金所持有的股票市值和买入、卖出股指期货合约价值，合计（轧差计算）应当符合《基金合同》关于股票投资比例的有关约定；</w:t>
      </w:r>
    </w:p>
    <w:p w14:paraId="605B1F0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 xml:space="preserve">8）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 </w:t>
      </w:r>
    </w:p>
    <w:p w14:paraId="22C2B76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9）本基金主动投资流动性受限资产的市值合计不得超过本</w:t>
      </w:r>
      <w:proofErr w:type="gramStart"/>
      <w:r>
        <w:rPr>
          <w:rFonts w:ascii="宋体" w:hAnsi="宋体" w:hint="eastAsia"/>
          <w:sz w:val="24"/>
        </w:rPr>
        <w:t>基金基金</w:t>
      </w:r>
      <w:proofErr w:type="gramEnd"/>
      <w:r>
        <w:rPr>
          <w:rFonts w:ascii="宋体" w:hAnsi="宋体" w:hint="eastAsia"/>
          <w:sz w:val="24"/>
        </w:rPr>
        <w:t>资产净值的15%；因证券市场波动、上市公司股票停牌、基金规模变动等基金管理人之外的因素致使基金投资比例不符合上述投资比例限制的，基金管理人不得主动新</w:t>
      </w:r>
      <w:r>
        <w:rPr>
          <w:rFonts w:ascii="宋体" w:hAnsi="宋体" w:hint="eastAsia"/>
          <w:sz w:val="24"/>
        </w:rPr>
        <w:lastRenderedPageBreak/>
        <w:t>增流动性受限资产的投资；</w:t>
      </w:r>
    </w:p>
    <w:p w14:paraId="2301913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10）本基金与私募类</w:t>
      </w:r>
      <w:proofErr w:type="gramStart"/>
      <w:r>
        <w:rPr>
          <w:rFonts w:ascii="宋体" w:hAnsi="宋体" w:hint="eastAsia"/>
          <w:sz w:val="24"/>
        </w:rPr>
        <w:t>证券资管产品</w:t>
      </w:r>
      <w:proofErr w:type="gramEnd"/>
      <w:r>
        <w:rPr>
          <w:rFonts w:ascii="宋体" w:hAnsi="宋体" w:hint="eastAsia"/>
          <w:sz w:val="24"/>
        </w:rPr>
        <w:t>及中国证监会认定的其他主体为交易对手方开展逆回购交易的，可接受质押品的资质要求应当与基金合同约定的投资范围保持一致；</w:t>
      </w:r>
    </w:p>
    <w:p w14:paraId="0E2C3BA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11）本基金资产总值不超过基金资产净值的140%；</w:t>
      </w:r>
    </w:p>
    <w:p w14:paraId="51F84AC1" w14:textId="77777777" w:rsidR="008A6127" w:rsidRDefault="00437D9F">
      <w:pPr>
        <w:spacing w:line="360" w:lineRule="auto"/>
        <w:ind w:firstLineChars="200" w:firstLine="480"/>
        <w:rPr>
          <w:rFonts w:ascii="宋体" w:hAnsi="宋体"/>
          <w:bCs/>
          <w:sz w:val="24"/>
        </w:rPr>
      </w:pPr>
      <w:r>
        <w:rPr>
          <w:rFonts w:ascii="宋体" w:hAnsi="宋体" w:hint="eastAsia"/>
          <w:sz w:val="24"/>
        </w:rPr>
        <w:t>12）</w:t>
      </w:r>
      <w:r>
        <w:rPr>
          <w:rFonts w:ascii="宋体" w:hAnsi="宋体" w:hint="eastAsia"/>
          <w:bCs/>
          <w:sz w:val="24"/>
        </w:rPr>
        <w:t>本基金投资存托凭证的比例限制依照境内上市交易的股票执行，与境内上市交易的股票合并计算；</w:t>
      </w:r>
    </w:p>
    <w:p w14:paraId="3D58C1F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13）法律法规及中国证监会规定的和《基金合同》约定的其他投资限制。</w:t>
      </w:r>
    </w:p>
    <w:p w14:paraId="1115807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除上述2）、9）、10）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或监管部门另有规定的，从其规定。</w:t>
      </w:r>
    </w:p>
    <w:p w14:paraId="00ED178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法律法规或监管部门另有规定的，从其规定。</w:t>
      </w:r>
    </w:p>
    <w:p w14:paraId="22ABD9B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法律法规或监管部门对上述投资组合比例限制进行变更的，以变更后的规定为准。法律法规或监管部门取消上述限制，如适用于本基金，基金管理人在履行适当程序后，则本基金投资不再受相关限制或按调整后的规定执行，无需经基金份额持有人大会审议，但须提前公告。</w:t>
      </w:r>
    </w:p>
    <w:p w14:paraId="35CC85F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（4）本基金财产不得用于以下投资或者活动：</w:t>
      </w:r>
    </w:p>
    <w:p w14:paraId="023B5D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1）承销证券；</w:t>
      </w:r>
    </w:p>
    <w:p w14:paraId="3A8F60D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2）违反规定向他人贷款或者提供担保；</w:t>
      </w:r>
    </w:p>
    <w:p w14:paraId="298392E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3）从事承担无限责任的投资；</w:t>
      </w:r>
    </w:p>
    <w:p w14:paraId="37A723C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4）买卖其他基金份额，但是中国证监会另有规定的除外；</w:t>
      </w:r>
    </w:p>
    <w:p w14:paraId="2215235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5）向其基金管理人、基金托管人出资；</w:t>
      </w:r>
    </w:p>
    <w:p w14:paraId="1FF8F54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6）从事内幕交易、操纵证券交易价格及其他不正当的证券交易活动；</w:t>
      </w:r>
    </w:p>
    <w:p w14:paraId="2CE7761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7）法律、行政法规和中国证监会规定禁止的其他活动。</w:t>
      </w:r>
    </w:p>
    <w:p w14:paraId="46AB535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如法律法规或监管部门取消上述禁止性规定，基金管理人在履行适当程序后，则本基金投资不再受相关限制，无需经基金份额持有人大会审议。</w:t>
      </w:r>
    </w:p>
    <w:p w14:paraId="35A9D0E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5）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4EC1128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如法律、行政法规或监管部门取消或变更上述限制，如适用于本基金，基金管理人在履行适当程序后，则本基金投资不再受相关限制或按变更后的规定执行，无需经基金份额持有人大会审议。</w:t>
      </w:r>
    </w:p>
    <w:p w14:paraId="5FEFA2B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14:paraId="074368F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本基金投资银行存款应符合如下规定：</w:t>
      </w:r>
    </w:p>
    <w:p w14:paraId="401E443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（1）本</w:t>
      </w:r>
      <w:r>
        <w:rPr>
          <w:rFonts w:ascii="宋体" w:hAnsi="宋体"/>
          <w:sz w:val="24"/>
        </w:rPr>
        <w:t>基金投资于有固定期限银行存款的比例，不得超过基金资产净值的 30%，但投资于有存款期限，根据协议可提前支取的银行存款不受上述比例限制;</w:t>
      </w:r>
      <w:r>
        <w:rPr>
          <w:rFonts w:ascii="宋体" w:hAnsi="宋体" w:hint="eastAsia"/>
          <w:sz w:val="24"/>
        </w:rPr>
        <w:t>本</w:t>
      </w:r>
      <w:r>
        <w:rPr>
          <w:rFonts w:ascii="宋体" w:hAnsi="宋体"/>
          <w:sz w:val="24"/>
        </w:rPr>
        <w:t>基金投资于具有基金托管人资格的同一商业银行的银行存款、同业存单占基金资产净值的比例合计不得超过 20%，投资于不具有基金托管人资格的同一商业银行的银行存款、同业存单占基金资产净值的比例合计不得超过 5%。</w:t>
      </w:r>
    </w:p>
    <w:p w14:paraId="642CABB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（2）有关法律法规或监管部门制定或修改新的定期存款投资政策，基金管理人履行适当程序后，可相应调整投资组合限制的规定。</w:t>
      </w:r>
    </w:p>
    <w:p w14:paraId="20C4068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管理人负责对本基金存款银行的评估与研究，建立健全银行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14:paraId="1B3B9010"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）基金管理人负责控制信用风险。信用风险主要包括存款银行的信用等级、</w:t>
      </w:r>
      <w:r>
        <w:rPr>
          <w:rFonts w:ascii="宋体" w:hAnsi="宋体" w:hint="eastAsia"/>
          <w:sz w:val="24"/>
        </w:rPr>
        <w:lastRenderedPageBreak/>
        <w:t>存款银行的支付能力等涉及到存款银行选择方面的风险。因基金管理人选择存款银行不当造成基金财产损失的，由基金管理人承担责任。</w:t>
      </w:r>
    </w:p>
    <w:p w14:paraId="57126491"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基金管理人负责控制流动性风险，并承担因控制不力而造成的损失。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14:paraId="77A8F5B3"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）基金管理人须加强内部风险控制制度的建设。如因基金管理人员工职务行为导致基金财产受到损失的，需由基金管理人承担由此造成的损失。</w:t>
      </w:r>
    </w:p>
    <w:p w14:paraId="27E6CAD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4）基金管理人与基金托管人在开展基金存款业务时，应严格遵守《基金法》、《运作办法》等有关法律法规，以及国家有关账户管理、利率管理、支付结算等的各项规定。</w:t>
      </w:r>
    </w:p>
    <w:p w14:paraId="5C015D6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3、基金投资银行存款协议的签订、账户开设与管理、投资指令与资金划付、账目核对、到期兑付、提前支取</w:t>
      </w:r>
    </w:p>
    <w:p w14:paraId="3B69C99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（1）基金投资银行存款协议的签订</w:t>
      </w:r>
    </w:p>
    <w:p w14:paraId="6468233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管理人应与符合资格的存款银行总行或其授权分行签订《基金存款业务总体合作协议》（以下简称《总体合作协议》），确定《存款协议书》的格式范本。《总体合作协议》和《存款协议书》的格式范本由基金托管人与基金管理人共同商定。</w:t>
      </w:r>
    </w:p>
    <w:p w14:paraId="0A1AC72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2）基金托管人依据相关法规对《总体合作协议》和《存款协议书》的内容进行复核，审查存款银行资格等。</w:t>
      </w:r>
    </w:p>
    <w:p w14:paraId="4056C70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3）基金管理人应在《存款协议书》中明确存款证实书或其他有效存款凭证的办理方式、邮寄地址、联系人和联系电话，以及存款证实书或其他有效凭证在邮寄过程中遗失后，存款余额的确认及兑付办法等。</w:t>
      </w:r>
    </w:p>
    <w:p w14:paraId="5C1F648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4）由存款银行指定的存放存款的分支机构（以下简称“存款分支机构</w:t>
      </w:r>
      <w:r>
        <w:rPr>
          <w:rFonts w:ascii="宋体" w:hAnsi="宋体"/>
          <w:sz w:val="24"/>
        </w:rPr>
        <w:t>”</w:t>
      </w:r>
      <w:r>
        <w:rPr>
          <w:rFonts w:ascii="宋体" w:hAnsi="宋体" w:hint="eastAsia"/>
          <w:sz w:val="24"/>
        </w:rPr>
        <w:t>）寄送或上门交付存款证实书或其他有效存款凭证的，基金托管人可向存款分支机构的上级行发出存款余额</w:t>
      </w:r>
      <w:proofErr w:type="gramStart"/>
      <w:r>
        <w:rPr>
          <w:rFonts w:ascii="宋体" w:hAnsi="宋体" w:hint="eastAsia"/>
          <w:sz w:val="24"/>
        </w:rPr>
        <w:t>询</w:t>
      </w:r>
      <w:proofErr w:type="gramEnd"/>
      <w:r>
        <w:rPr>
          <w:rFonts w:ascii="宋体" w:hAnsi="宋体" w:hint="eastAsia"/>
          <w:sz w:val="24"/>
        </w:rPr>
        <w:t>证函，存款分支机构及其上级行应予配合。</w:t>
      </w:r>
    </w:p>
    <w:p w14:paraId="3B5FDC2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5）基金管理人应在《存款协议书》中规定，基金存放到期或提前兑付的资金应全部划转到指定的基金托管账户，并在《存款协议书》写明账户名称和账号，未划入指定账户的，由存款银行承担一切责任。</w:t>
      </w:r>
    </w:p>
    <w:p w14:paraId="678E2AA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6）基金管理人应在《存款协议书》中规定，在存期内，如本基金银行账户、预留印鉴发生变更，管理人应及时书面通知存款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w:t>
      </w:r>
    </w:p>
    <w:p w14:paraId="5406F1A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7）基金管理人应在《存款协议书》中规定，因定期存款产生的存单不得被质押或以任何方式被抵押，不得用于转让和背书。</w:t>
      </w:r>
    </w:p>
    <w:p w14:paraId="29717B3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（2）基金投资银行存款时的账户开设与管理</w:t>
      </w:r>
    </w:p>
    <w:p w14:paraId="0190EE3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1）基金投资于银行存款时，基金管理人应当依据基金管理人与存款银行签订的《总体合作协议》、《存款协议书》等，以基金的名义在存款银行总行或授权分行指定的分支机构开立银行账户。</w:t>
      </w:r>
    </w:p>
    <w:p w14:paraId="301033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2）基金投资于银行存款时的预留印鉴由基金托管人保管和使用。</w:t>
      </w:r>
    </w:p>
    <w:p w14:paraId="78A5443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（3）存款凭证传递、账目核对及到期兑付</w:t>
      </w:r>
    </w:p>
    <w:p w14:paraId="773803D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1）存款证实书等存款凭证传递</w:t>
      </w:r>
    </w:p>
    <w:p w14:paraId="3AF8DE6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存款资金只能存放于存款银行总行或者其授权分行指定的分支机构。基金管理人应在《存款协议书》中规定，存款银行分支机构应为基金开具存款证实书或其他有效存款凭证（下称“存款凭证”），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14:paraId="7879A46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2）存款凭证的遗失补办</w:t>
      </w:r>
    </w:p>
    <w:p w14:paraId="6DA60F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存款凭证在邮寄过程中遗失的，由基金管理人向存款银行提出补办申请，基金管理人应督促存款银行尽快补办存款凭证，并按以上（1）的方式快递或上门交付至托管人，原存款凭证自动作废。</w:t>
      </w:r>
    </w:p>
    <w:p w14:paraId="16BE4D5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3）账目核对</w:t>
      </w:r>
    </w:p>
    <w:p w14:paraId="1DA9024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每个工作日，基金管理人应与基金托管人核对各项银行存款投资余额及应计利息。</w:t>
      </w:r>
    </w:p>
    <w:p w14:paraId="77C84BA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基金管理人应在《存款协议书》中规定，对于存期超过3个月的定期存款，</w:t>
      </w:r>
      <w:r>
        <w:rPr>
          <w:rFonts w:ascii="宋体" w:hAnsi="宋体" w:hint="eastAsia"/>
          <w:sz w:val="24"/>
        </w:rPr>
        <w:lastRenderedPageBreak/>
        <w:t>存款银行应于每季末后5个工作日内向基金托管人指定人员寄送对账单。因存款银行未寄送对账单造成的资金被挪用、盗取的责任由存款银行承担。</w:t>
      </w:r>
    </w:p>
    <w:p w14:paraId="5A0C4AC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基金管理人应尽力要求存款银行配合基金托管人对存款凭证的</w:t>
      </w:r>
      <w:proofErr w:type="gramStart"/>
      <w:r>
        <w:rPr>
          <w:rFonts w:ascii="宋体" w:hAnsi="宋体" w:hint="eastAsia"/>
          <w:sz w:val="24"/>
        </w:rPr>
        <w:t>询</w:t>
      </w:r>
      <w:proofErr w:type="gramEnd"/>
      <w:r>
        <w:rPr>
          <w:rFonts w:ascii="宋体" w:hAnsi="宋体" w:hint="eastAsia"/>
          <w:sz w:val="24"/>
        </w:rPr>
        <w:t>证，并在询证函上加盖存款银行公章寄送至基金托管人指定联系人。</w:t>
      </w:r>
    </w:p>
    <w:p w14:paraId="249D4B7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4）到期兑付</w:t>
      </w:r>
    </w:p>
    <w:p w14:paraId="4164332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基金管理人提前通知基金托管人通过快递将存款凭证原件寄给存款银行分支机构指定的会计主管。存款银行未收到存款凭证原件的，应与基金托管人电话询问。存款到期</w:t>
      </w:r>
      <w:proofErr w:type="gramStart"/>
      <w:r>
        <w:rPr>
          <w:rFonts w:ascii="宋体" w:hAnsi="宋体" w:hint="eastAsia"/>
          <w:sz w:val="24"/>
        </w:rPr>
        <w:t>前基金</w:t>
      </w:r>
      <w:proofErr w:type="gramEnd"/>
      <w:r>
        <w:rPr>
          <w:rFonts w:ascii="宋体" w:hAnsi="宋体" w:hint="eastAsia"/>
          <w:sz w:val="24"/>
        </w:rPr>
        <w:t>管理人与存款银行确认存款凭证收到并于到期日兑付存款本息事宜。</w:t>
      </w:r>
    </w:p>
    <w:p w14:paraId="3C0A1C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托管人在存款到期日未收到存款本息或存款本息金额不符时，通知基金管理人与存款银行接洽存款到账时间及利息补付事宜。基金管理人应将接洽结果告知基金托管人，基金托管人收妥存款本息的当日通知基金管理人。</w:t>
      </w:r>
    </w:p>
    <w:p w14:paraId="6B02BDC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在《存款协议书》中规定，存款凭证在邮寄过程中遗失的，存款银行应立即通知基金托管人，基金托管人在原存款凭证复印件上加盖公章并出具相关证明文件后，与存款银行指定会计主管电话确认后，存款银行应在到期日将存款本息划至指定的基金资金账户。如果存款到期日为法定节假日，存款银行顺延至到期后第一个工作日支付，存款银行需按原协议约定利率和实际延期天数支付延期利息。</w:t>
      </w:r>
    </w:p>
    <w:p w14:paraId="6338480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（4）提前支取</w:t>
      </w:r>
    </w:p>
    <w:p w14:paraId="0130E7D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如果在存款期限内，由于基金规模发生缩减的原因或者出于流动性管理的需要等原因，基金管理人可以提前支取全部或部分资金。</w:t>
      </w:r>
    </w:p>
    <w:p w14:paraId="4C3A5FF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提前支取的具体事项按照基金管理人与存款银行签订的《存款协议书》执行。</w:t>
      </w:r>
    </w:p>
    <w:p w14:paraId="7680908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（5）基金投资银行存款的监督</w:t>
      </w:r>
    </w:p>
    <w:p w14:paraId="3D354B6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基金托管人发现基金管理人在进行存款投资时有违反有关法律法规的规定及《基金合同》的约定的行为，应及时以书面形式通知基金管理人在</w:t>
      </w:r>
      <w:r>
        <w:rPr>
          <w:rFonts w:ascii="宋体" w:hAnsi="宋体"/>
          <w:sz w:val="24"/>
        </w:rPr>
        <w:t xml:space="preserve">10 </w:t>
      </w:r>
      <w:proofErr w:type="gramStart"/>
      <w:r>
        <w:rPr>
          <w:rFonts w:ascii="宋体" w:hAnsi="宋体" w:hint="eastAsia"/>
          <w:sz w:val="24"/>
        </w:rPr>
        <w:t>个</w:t>
      </w:r>
      <w:proofErr w:type="gramEnd"/>
      <w:r>
        <w:rPr>
          <w:rFonts w:ascii="宋体" w:hAnsi="宋体" w:hint="eastAsia"/>
          <w:sz w:val="24"/>
        </w:rPr>
        <w:t>工作日内纠正。基金管理人对基金托管人通知的违规事项未能在</w:t>
      </w:r>
      <w:r>
        <w:rPr>
          <w:rFonts w:ascii="宋体" w:hAnsi="宋体"/>
          <w:sz w:val="24"/>
        </w:rPr>
        <w:t xml:space="preserve">10 </w:t>
      </w:r>
      <w:proofErr w:type="gramStart"/>
      <w:r>
        <w:rPr>
          <w:rFonts w:ascii="宋体" w:hAnsi="宋体" w:hint="eastAsia"/>
          <w:sz w:val="24"/>
        </w:rPr>
        <w:t>个</w:t>
      </w:r>
      <w:proofErr w:type="gramEnd"/>
      <w:r>
        <w:rPr>
          <w:rFonts w:ascii="宋体" w:hAnsi="宋体" w:hint="eastAsia"/>
          <w:sz w:val="24"/>
        </w:rPr>
        <w:t>工作日内纠正的，基金托管人应报告中国证监会。基金托管人发现基金管理人有重大违规行为，应立即报告中国证监会，同时通知基金管理人在</w:t>
      </w:r>
      <w:r>
        <w:rPr>
          <w:rFonts w:ascii="宋体" w:hAnsi="宋体"/>
          <w:sz w:val="24"/>
        </w:rPr>
        <w:t xml:space="preserve">10 </w:t>
      </w:r>
      <w:proofErr w:type="gramStart"/>
      <w:r>
        <w:rPr>
          <w:rFonts w:ascii="宋体" w:hAnsi="宋体" w:hint="eastAsia"/>
          <w:sz w:val="24"/>
        </w:rPr>
        <w:t>个</w:t>
      </w:r>
      <w:proofErr w:type="gramEnd"/>
      <w:r>
        <w:rPr>
          <w:rFonts w:ascii="宋体" w:hAnsi="宋体" w:hint="eastAsia"/>
          <w:sz w:val="24"/>
        </w:rPr>
        <w:t>工作日内纠正或拒绝结算，若因基金管理人拒不执行造成基金财产损失的，相关损失由基金管理人承担，基金托管人不承担任何责任。</w:t>
      </w:r>
    </w:p>
    <w:p w14:paraId="409AAFD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4、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w:t>
      </w:r>
      <w:r>
        <w:rPr>
          <w:rFonts w:ascii="宋体" w:hAnsi="宋体"/>
          <w:sz w:val="24"/>
        </w:rPr>
        <w:t>3个交易</w:t>
      </w:r>
      <w:proofErr w:type="gramStart"/>
      <w:r>
        <w:rPr>
          <w:rFonts w:ascii="宋体" w:hAnsi="宋体"/>
          <w:sz w:val="24"/>
        </w:rPr>
        <w:t>日内与</w:t>
      </w:r>
      <w:proofErr w:type="gramEnd"/>
      <w:r>
        <w:rPr>
          <w:rFonts w:ascii="宋体" w:hAnsi="宋体"/>
          <w:sz w:val="24"/>
        </w:rPr>
        <w:t>基金托管人协商解决。</w:t>
      </w:r>
    </w:p>
    <w:p w14:paraId="0957D95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负责对交易对手的资信控制，按银行间债券市场的交易规则进行交易，并负责解决因交易对手不履行合同而造成的纠纷及损失。若未履约的交易对手在基金管理人确定的时间内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14:paraId="0A3AA8F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5、本基金投资流通受限证券，应遵守《关于基金投资非公开发行股票等流通受限证券有关问题的通知》等有关监管规定。</w:t>
      </w:r>
    </w:p>
    <w:p w14:paraId="0770DFF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流通受限证券与上文所述的流动性受限资产并不完全一致，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w:t>
      </w:r>
      <w:proofErr w:type="gramStart"/>
      <w:r>
        <w:rPr>
          <w:rFonts w:ascii="宋体" w:hAnsi="宋体" w:hint="eastAsia"/>
          <w:sz w:val="24"/>
        </w:rPr>
        <w:t>券</w:t>
      </w:r>
      <w:proofErr w:type="gramEnd"/>
      <w:r>
        <w:rPr>
          <w:rFonts w:ascii="宋体" w:hAnsi="宋体" w:hint="eastAsia"/>
          <w:sz w:val="24"/>
        </w:rPr>
        <w:t>等流通受限证券。</w:t>
      </w:r>
    </w:p>
    <w:p w14:paraId="104C4D6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可以投资经中国证监会批准的非公开发行证券，且限于由中国证券登记结算有限责任公司、中央国债登记结算有限责任公司或银行间市场清算所股份有限公司负责登记和存管的，并可在证券交易所或全国银行间债券市场交易的证</w:t>
      </w:r>
      <w:r>
        <w:rPr>
          <w:rFonts w:ascii="宋体" w:hAnsi="宋体" w:hint="eastAsia"/>
          <w:sz w:val="24"/>
        </w:rPr>
        <w:lastRenderedPageBreak/>
        <w:t>券。</w:t>
      </w:r>
    </w:p>
    <w:p w14:paraId="5A4290B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本基金不得投资未经中国证监会批准的非公开发行证券。</w:t>
      </w:r>
    </w:p>
    <w:p w14:paraId="46B6483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本基金不得投资有</w:t>
      </w:r>
      <w:proofErr w:type="gramStart"/>
      <w:r>
        <w:rPr>
          <w:rFonts w:ascii="宋体" w:hAnsi="宋体" w:hint="eastAsia"/>
          <w:sz w:val="24"/>
        </w:rPr>
        <w:t>锁定期但锁定</w:t>
      </w:r>
      <w:proofErr w:type="gramEnd"/>
      <w:r>
        <w:rPr>
          <w:rFonts w:ascii="宋体" w:hAnsi="宋体" w:hint="eastAsia"/>
          <w:sz w:val="24"/>
        </w:rPr>
        <w:t>期不明确的证券。</w:t>
      </w:r>
    </w:p>
    <w:p w14:paraId="59FE603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14:paraId="0EBE1B3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基金管理人应至少</w:t>
      </w:r>
      <w:proofErr w:type="gramStart"/>
      <w:r>
        <w:rPr>
          <w:rFonts w:ascii="宋体" w:hAnsi="宋体" w:hint="eastAsia"/>
          <w:sz w:val="24"/>
        </w:rPr>
        <w:t>于首次</w:t>
      </w:r>
      <w:proofErr w:type="gramEnd"/>
      <w:r>
        <w:rPr>
          <w:rFonts w:ascii="宋体" w:hAnsi="宋体" w:hint="eastAsia"/>
          <w:sz w:val="24"/>
        </w:rPr>
        <w:t>执行投资指令之前两个工作日将上述资料书面发至基金托管人，保证基金托管人有足够的时间进行审核。基金托管人应在收到上述资料后两个工作日内，以书面或其他双方认可的方式确认收到上述资料。</w:t>
      </w:r>
    </w:p>
    <w:p w14:paraId="2E25C7E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w:t>
      </w:r>
    </w:p>
    <w:p w14:paraId="7A73672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投资流通受限证券前，基金管理人应向基金托管人提供符合法律法规要求的有关书面信息，包括但不限于拟发行证券主体的中国证监会批准文件、发行证券数量、发行价格、锁定期，基金拟认购的数量、价格、总成本、应划付的认购款、资金划付时间等。基金管理人应保证上述信息的真实、完整，并应至少</w:t>
      </w:r>
      <w:proofErr w:type="gramStart"/>
      <w:r>
        <w:rPr>
          <w:rFonts w:ascii="宋体" w:hAnsi="宋体" w:hint="eastAsia"/>
          <w:sz w:val="24"/>
        </w:rPr>
        <w:t>于拟执行</w:t>
      </w:r>
      <w:proofErr w:type="gramEnd"/>
      <w:r>
        <w:rPr>
          <w:rFonts w:ascii="宋体" w:hAnsi="宋体" w:hint="eastAsia"/>
          <w:sz w:val="24"/>
        </w:rPr>
        <w:t>投资指令前两个工作日将上述信息书面发至基金托管人，保证基金托管人有足够的时间进行审核。</w:t>
      </w:r>
    </w:p>
    <w:p w14:paraId="3849026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由于基金管理人未及时提供有关证券的具体的必要的信息，致使托管人无法审核认购指令而影响认购款项划拨的，基金托管人免于承担责任。</w:t>
      </w:r>
    </w:p>
    <w:p w14:paraId="63EE354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托管人依照法律法规、《基金合同》、《托管协议》审核基金管理人投资流通受限证券的行为。如发现基金管理人违反了《基金合同》、《托管协议》以及其他相关法律法规的有关规定，应及时通知基金管理人，并呈报中国证监会，同时采取合理措施保护基金投资人的利益。基金托管人有权对基金管理人的违法、违规以及违反《基金合同》、《托管协议》的投资指令不予执行，并立即通知基金管理人纠正，基金管理人不予纠正或已代表基金签署合同不得不执</w:t>
      </w:r>
      <w:r>
        <w:rPr>
          <w:rFonts w:ascii="宋体" w:hAnsi="宋体" w:hint="eastAsia"/>
          <w:sz w:val="24"/>
        </w:rPr>
        <w:lastRenderedPageBreak/>
        <w:t>行时，基金托管人应向中国证监会报告。</w:t>
      </w:r>
    </w:p>
    <w:p w14:paraId="447FF64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w:t>
      </w:r>
      <w:r>
        <w:rPr>
          <w:rFonts w:ascii="宋体" w:hAnsi="宋体"/>
          <w:sz w:val="24"/>
        </w:rPr>
        <w:t>基金管理</w:t>
      </w:r>
      <w:r>
        <w:rPr>
          <w:rFonts w:ascii="宋体" w:hAnsi="宋体" w:hint="eastAsia"/>
          <w:sz w:val="24"/>
        </w:rPr>
        <w:t>人</w:t>
      </w:r>
      <w:r>
        <w:rPr>
          <w:rFonts w:ascii="宋体" w:hAnsi="宋体"/>
          <w:sz w:val="24"/>
        </w:rPr>
        <w:t>应在基金投资非公开发行股票后两个交易日内,在中国证监会规定媒介披露所投资非公开发行股票的名称、数量、总成本、账面价值,以及总成本和账面价值占基金资产净值的比例、锁定期等信息。</w:t>
      </w:r>
    </w:p>
    <w:p w14:paraId="7C1724A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6、基金管理人应当对投资中期票据业务进行研究，认真评估中期票据投资业务的风险，本着审慎、勤勉尽责的原则进行中期票据的投资业务，并应符合法律法规及监管机构的相关规定。</w:t>
      </w:r>
    </w:p>
    <w:p w14:paraId="1EE62357" w14:textId="77777777" w:rsidR="008A6127" w:rsidRDefault="00437D9F">
      <w:pPr>
        <w:snapToGrid w:val="0"/>
        <w:spacing w:line="360" w:lineRule="auto"/>
        <w:ind w:firstLineChars="200" w:firstLine="480"/>
        <w:rPr>
          <w:rFonts w:ascii="宋体" w:hAnsi="宋体"/>
          <w:sz w:val="24"/>
        </w:rPr>
      </w:pPr>
      <w:r>
        <w:rPr>
          <w:rFonts w:ascii="宋体" w:hAnsi="宋体"/>
          <w:sz w:val="24"/>
        </w:rPr>
        <w:t>7</w:t>
      </w:r>
      <w:r>
        <w:rPr>
          <w:rFonts w:ascii="宋体" w:hAnsi="宋体" w:hint="eastAsia"/>
          <w:sz w:val="24"/>
        </w:rPr>
        <w:t>、基金托管人根据有关法律法规的规定及《基金合同》的约定，对基金资产净值计算、各类基金份额的基金份额净值计算、基金费用开支及收入确定、基金收益分配、相关信息披露、基金宣传推介材料中登载基金业绩表现数据等进行监督和核查。</w:t>
      </w:r>
    </w:p>
    <w:p w14:paraId="7DE6801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基金托管人发现基金管理人的上述事项及投资指令或实际投资运作违反法律法规、《基金合同》和本托管协议的规定，应及时以电话、邮件或书面提示等方式通知基金管理人限期纠正。基金管理人应积极配合和协助基金托管人的监督和核查。基金管理人收到通知后应及时核对并回复</w:t>
      </w:r>
      <w:r>
        <w:rPr>
          <w:rFonts w:ascii="宋体" w:hAnsi="宋体"/>
          <w:sz w:val="24"/>
        </w:rPr>
        <w:t>基金托管人，对于收到的书面通知，基金管理人应以书面形式给基金托管人发出回函，就基金托管人的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14:paraId="0ECC069D" w14:textId="77777777" w:rsidR="008A6127" w:rsidRDefault="00437D9F">
      <w:pPr>
        <w:snapToGrid w:val="0"/>
        <w:spacing w:line="360" w:lineRule="auto"/>
        <w:ind w:firstLineChars="200" w:firstLine="480"/>
        <w:rPr>
          <w:rFonts w:ascii="宋体" w:hAnsi="宋体"/>
          <w:sz w:val="24"/>
        </w:rPr>
      </w:pPr>
      <w:r>
        <w:rPr>
          <w:rFonts w:ascii="宋体" w:hAnsi="宋体"/>
          <w:sz w:val="24"/>
        </w:rPr>
        <w:t>9</w:t>
      </w:r>
      <w:r>
        <w:rPr>
          <w:rFonts w:ascii="宋体" w:hAnsi="宋体" w:hint="eastAsia"/>
          <w:sz w:val="24"/>
        </w:rPr>
        <w:t>、基金管理人有义务配合和协助基金托管人依照法律法规、《基金合同》和本托管协议对基金业务执行核查。包括但不限于：对基金托管人发出的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4426610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w:t>
      </w:r>
      <w:proofErr w:type="gramStart"/>
      <w:r>
        <w:rPr>
          <w:rFonts w:ascii="宋体" w:hAnsi="宋体" w:hint="eastAsia"/>
          <w:sz w:val="24"/>
        </w:rPr>
        <w:t>若基金</w:t>
      </w:r>
      <w:proofErr w:type="gramEnd"/>
      <w:r>
        <w:rPr>
          <w:rFonts w:ascii="宋体" w:hAnsi="宋体" w:hint="eastAsia"/>
          <w:sz w:val="24"/>
        </w:rPr>
        <w:t>托管人发现基金管理人依据交易程序已经生效的指令违反法律、行政法规和其他有关规定，或者违反基金合同约定的，应当立即通知基金管理人及时纠正，由此造成的损失由基金管理人承担，托管人在履行其通知义务后，予以免责。</w:t>
      </w:r>
    </w:p>
    <w:p w14:paraId="0F64C833" w14:textId="77777777" w:rsidR="008A6127" w:rsidRDefault="00437D9F">
      <w:pPr>
        <w:snapToGrid w:val="0"/>
        <w:spacing w:line="360" w:lineRule="auto"/>
        <w:ind w:firstLineChars="200" w:firstLine="480"/>
        <w:rPr>
          <w:rFonts w:ascii="宋体" w:hAnsi="宋体"/>
          <w:sz w:val="24"/>
        </w:rPr>
      </w:pPr>
      <w:r>
        <w:rPr>
          <w:rFonts w:ascii="宋体" w:hAnsi="宋体"/>
          <w:sz w:val="24"/>
        </w:rPr>
        <w:t>11</w:t>
      </w:r>
      <w:r>
        <w:rPr>
          <w:rFonts w:ascii="宋体" w:hAnsi="宋体" w:hint="eastAsia"/>
          <w:sz w:val="24"/>
        </w:rPr>
        <w:t>、基金托管人发现基金管理人有重大违规行为，应及时报告中国证监会，同时通知基金管理人限期纠正。</w:t>
      </w:r>
    </w:p>
    <w:p w14:paraId="2860F5AA"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lastRenderedPageBreak/>
        <w:t>（三）基金管理人对基金托管人的业务核查</w:t>
      </w:r>
      <w:bookmarkEnd w:id="450"/>
      <w:bookmarkEnd w:id="451"/>
      <w:bookmarkEnd w:id="452"/>
    </w:p>
    <w:p w14:paraId="2ABD49E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管理人对基金托管人履行托管职责情况进行核查，核查事项包括基金托管人安全保管基金财产、开设基金财产的资金账户、证券账户、期货结算账户等投资所需账户、复核基金管理人计算的基金资产净值和各类基金份额的基金份额净值、根据基金管理人指令办理清算交收、相关信息披露和监督基金投资运作等行为。</w:t>
      </w:r>
    </w:p>
    <w:p w14:paraId="3AC835C0"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基金管理人发现基金托管人擅自挪用基金财产、未对基金财产实行分账管理、未执行或无故延迟执行基金管理人资金划拨指令、泄露基金投资信息等违反《基金法》、基金合同、托管协议及其他有关规定时，应及时以书面形式通知基金托管人限期纠正。基金托管人收到书面通知后应在下一工作日前及时核对并以书面形式给基金管理人发出回函，说明违规原因及纠正期限，并保证在规定期限内及时改正。在上述规定期限内，基金管理人有权随时对通知事项进行复查，督促基金托管人改正。</w:t>
      </w:r>
    </w:p>
    <w:p w14:paraId="2DC2C7A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w:t>
      </w:r>
      <w:proofErr w:type="gramStart"/>
      <w:r>
        <w:rPr>
          <w:rFonts w:ascii="宋体" w:hAnsi="宋体" w:hint="eastAsia"/>
          <w:sz w:val="24"/>
        </w:rPr>
        <w:t>供基金</w:t>
      </w:r>
      <w:proofErr w:type="gramEnd"/>
      <w:r>
        <w:rPr>
          <w:rFonts w:ascii="宋体" w:hAnsi="宋体" w:hint="eastAsia"/>
          <w:sz w:val="24"/>
        </w:rPr>
        <w:t>管理人核查托管财产的完整性和真实性。</w:t>
      </w:r>
    </w:p>
    <w:p w14:paraId="24719D98"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、基金管理人发现基金托管人有重大违规行为，应及时报告中国证监会，同时通知基金托管人限期纠正，并将纠正结果报告中国证监会。</w:t>
      </w:r>
    </w:p>
    <w:p w14:paraId="35B7A0D8" w14:textId="77777777" w:rsidR="008A6127" w:rsidRDefault="00437D9F">
      <w:pPr>
        <w:snapToGrid w:val="0"/>
        <w:spacing w:line="360" w:lineRule="auto"/>
        <w:ind w:firstLineChars="200" w:firstLine="482"/>
        <w:rPr>
          <w:rFonts w:ascii="宋体" w:hAnsi="宋体"/>
          <w:b/>
          <w:kern w:val="0"/>
          <w:sz w:val="24"/>
        </w:rPr>
      </w:pPr>
      <w:bookmarkStart w:id="453" w:name="_Toc8601"/>
      <w:bookmarkStart w:id="454" w:name="_Toc421532566"/>
      <w:bookmarkStart w:id="455" w:name="_Toc28794"/>
      <w:r>
        <w:rPr>
          <w:rFonts w:ascii="宋体" w:hAnsi="宋体" w:hint="eastAsia"/>
          <w:b/>
          <w:kern w:val="0"/>
          <w:sz w:val="24"/>
        </w:rPr>
        <w:t>（四）基金财产保管</w:t>
      </w:r>
      <w:bookmarkEnd w:id="453"/>
      <w:bookmarkEnd w:id="454"/>
      <w:bookmarkEnd w:id="455"/>
    </w:p>
    <w:p w14:paraId="60A2430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1、基金财产保管的原则</w:t>
      </w:r>
    </w:p>
    <w:p w14:paraId="4BF2451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（1）基金财产应独立于基金管理人、基金托管人和证券经纪机构的固有财产。</w:t>
      </w:r>
    </w:p>
    <w:p w14:paraId="2851BCF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（2）基金托管人应安全保管基金财产。</w:t>
      </w:r>
    </w:p>
    <w:p w14:paraId="62CAB38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（3）基金托管人按照规定开设基金财产投资所需的相关账户。</w:t>
      </w:r>
    </w:p>
    <w:p w14:paraId="1557436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（4）基金托管人对所托管的不同基金财产分别设置账户，确保基金财产的完整与独立。</w:t>
      </w:r>
    </w:p>
    <w:p w14:paraId="4FC180B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（5）基金托管人根据基金管理人的指令，按照基金合同和托管协议的约定保管基金财产。未经基金管理人的正当指令，不得自行运用、处分、分配基金的</w:t>
      </w:r>
      <w:r>
        <w:rPr>
          <w:rFonts w:ascii="宋体" w:hAnsi="宋体" w:hint="eastAsia"/>
          <w:sz w:val="24"/>
        </w:rPr>
        <w:lastRenderedPageBreak/>
        <w:t>任何资产。不属于基金托管人实际有效控制下的资产及实物证券等在基金托管人保管期间的损坏、灭失，基金托管人不承担由此产生的责任。</w:t>
      </w:r>
    </w:p>
    <w:p w14:paraId="4D73AC1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对于因为基金投资产生的应收资产，应由基金管理人负责与有关当事人确定到账日期并通知基金托管人，到账日基金财产没有到达基金资金账户的，基金托管人应及时通知基金管理人采取措施进行催收，基金管理人应负责向有关当事人追偿基金财产的损失。</w:t>
      </w:r>
    </w:p>
    <w:p w14:paraId="699DF6B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基金托管人对因为基金管理人投资产生的存放或存管在基金托管人以外机构的基金资产，或交由期货公司或证券公司负责清算交收的基金资产（包括但不限于证券交易资金账户内的资金、证券类基金资产和期货保证金账户内的资金、期货合约等）及其收益，由于该等机构或该机构会员单位等托管协议当事人外第三方的欺诈、疏忽、过失或破产等原因给基金资产造成的损失等不承担责任。</w:t>
      </w:r>
    </w:p>
    <w:p w14:paraId="6C0F078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（8）除依据法律法规和基金合同的规定外，基金托管人不得委托第三人托管基金财产。</w:t>
      </w:r>
    </w:p>
    <w:p w14:paraId="17A0843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2、基金募集期间及募集资金的验资</w:t>
      </w:r>
    </w:p>
    <w:p w14:paraId="03FDC2A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（1）基金募集期间募集的资金应开立“基金募集专户”。该账户由基金管理人开立并管理。</w:t>
      </w:r>
    </w:p>
    <w:p w14:paraId="39210D6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募集期满或基金停止募集时，募集的基金份额总额、基金募集金额、基金份额持有人人数符合《基金法》、《运作办法》等有关规定后，基金管理人应将属于基金财产的全部资金划入基金托管人为基金开立的基金资金账户，同时在规定时间内，基金管理人应聘请具有从事证券、期货相关业务资格的会计师事务所进行验资，出具验资报告。出具的验资报告由参加验资的2名或2名以上中国注册会计师签字方为有效。</w:t>
      </w:r>
    </w:p>
    <w:p w14:paraId="440C23F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proofErr w:type="gramStart"/>
      <w:r>
        <w:rPr>
          <w:rFonts w:ascii="宋体" w:hAnsi="宋体" w:hint="eastAsia"/>
          <w:sz w:val="24"/>
        </w:rPr>
        <w:t>若基金</w:t>
      </w:r>
      <w:proofErr w:type="gramEnd"/>
      <w:r>
        <w:rPr>
          <w:rFonts w:ascii="宋体" w:hAnsi="宋体" w:hint="eastAsia"/>
          <w:sz w:val="24"/>
        </w:rPr>
        <w:t>募集期限届满，未能达到基金合同生效的条件，由基金管理人按规定办理退款等事宜。</w:t>
      </w:r>
    </w:p>
    <w:p w14:paraId="20CCF57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3、基金资金账户的开立和管理</w:t>
      </w:r>
    </w:p>
    <w:p w14:paraId="71F12F7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（1）基金托管人以本基金的名义在其营业机构开立基金的资金账户（也可称为“托管账户”），保管基金的银行存款，并根据基金管理人的指令办理资金收付。托管账户名称应为“朱雀产业</w:t>
      </w:r>
      <w:proofErr w:type="gramStart"/>
      <w:r>
        <w:rPr>
          <w:rFonts w:ascii="宋体" w:hAnsi="宋体" w:hint="eastAsia"/>
          <w:sz w:val="24"/>
        </w:rPr>
        <w:t>臻</w:t>
      </w:r>
      <w:proofErr w:type="gramEnd"/>
      <w:r>
        <w:rPr>
          <w:rFonts w:ascii="宋体" w:hAnsi="宋体" w:hint="eastAsia"/>
          <w:sz w:val="24"/>
        </w:rPr>
        <w:t>选混合型证券投资基金”，预留印鉴为基金托管人印章。</w:t>
      </w:r>
    </w:p>
    <w:p w14:paraId="4CB7D22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（2）基金资金账户的开立和使用，限于满足开展本基金业务的需要。基金</w:t>
      </w:r>
      <w:r>
        <w:rPr>
          <w:rFonts w:ascii="宋体" w:hAnsi="宋体" w:hint="eastAsia"/>
          <w:sz w:val="24"/>
        </w:rPr>
        <w:lastRenderedPageBreak/>
        <w:t>托管人和基金管理人不得假借本基金的名义开立任何其他银行账户；亦不得使用基金的任何账户进行本基金业务以外的活动。</w:t>
      </w:r>
    </w:p>
    <w:p w14:paraId="430548C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（3）基金资金账户的开立和管理应符合法律法规及银行业监督管理机构的有关规定。</w:t>
      </w:r>
    </w:p>
    <w:p w14:paraId="3CC5DFB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4、基金证券账户和资金交收账户的开立和管理</w:t>
      </w:r>
    </w:p>
    <w:p w14:paraId="0E2579F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（1）基金托管人在中国证券登记结算有限责任公司上海分公司、深圳分公司为基金开立基金托管人与基金联名的证券账户。</w:t>
      </w:r>
    </w:p>
    <w:p w14:paraId="4EC5529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02FF7FB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（3）基金证券账户的开立和证券账户卡的保管由基金托管人负责，账户资产的管理和运用由基金管理人负责。</w:t>
      </w:r>
    </w:p>
    <w:p w14:paraId="1ED292A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w:t>
      </w:r>
      <w:r>
        <w:rPr>
          <w:rFonts w:ascii="宋体" w:hAnsi="宋体"/>
          <w:sz w:val="24"/>
        </w:rPr>
        <w:t>基金管理人为基金财产在证券经纪机构开立证券交易资金账户，用于基金财产证券交易结算资金的存管、记载交易结算资金的变动明细以及场内证券交易清算，并与基金托管人开立的托管账户建立第三方存管关系。</w:t>
      </w:r>
    </w:p>
    <w:p w14:paraId="0F50D2FC"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托管人和基金管理人不得出借或转让证券账户、证券交易资金账户，亦不得使用证券账户或证券交易资金账户进行本基金业务以外的活动。本基金通过证券经纪机构进行的交易由证券经纪机构作为结算参与人代理本基金进行结算。</w:t>
      </w:r>
    </w:p>
    <w:p w14:paraId="2ABACE8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w:t>
      </w:r>
      <w:r>
        <w:rPr>
          <w:rFonts w:ascii="宋体" w:hAnsi="宋体"/>
          <w:sz w:val="24"/>
        </w:rPr>
        <w:t>基金管理人承诺证券交易资金账户为主资金账户，不开立任何辅助资金账户；不为证券交易资金账户另行开立银行托管账户以外的其他银行账户。</w:t>
      </w:r>
    </w:p>
    <w:p w14:paraId="5B913D9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（6）若中国证监会或其他监管机构在本托管协议订立日之后允许基金从事其他投资品种的投资业务，涉及相关账户的开立、使用的，按有关规定开立、使用并管理；若无相关规定，</w:t>
      </w:r>
      <w:proofErr w:type="gramStart"/>
      <w:r>
        <w:rPr>
          <w:rFonts w:ascii="宋体" w:hAnsi="宋体" w:hint="eastAsia"/>
          <w:sz w:val="24"/>
        </w:rPr>
        <w:t>则基金</w:t>
      </w:r>
      <w:proofErr w:type="gramEnd"/>
      <w:r>
        <w:rPr>
          <w:rFonts w:ascii="宋体" w:hAnsi="宋体" w:hint="eastAsia"/>
          <w:sz w:val="24"/>
        </w:rPr>
        <w:t>托管人比照上述关于账户开立、使用的规定执行。</w:t>
      </w:r>
    </w:p>
    <w:p w14:paraId="6DF3FCE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5、债券托管账户的开设和管理</w:t>
      </w:r>
    </w:p>
    <w:p w14:paraId="443A153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合同生效后，基金托管人根据中国人民银行、中央国债登记结算有限责任公司和银行间市场清算所股份有限公司的有关规定，以基金的名义在银行间市场登记结算机构开立债券托管账户，并代表基金进行银行间市场债券的结算。</w:t>
      </w:r>
    </w:p>
    <w:p w14:paraId="034CBD05"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6、其他账户的开立和管理</w:t>
      </w:r>
    </w:p>
    <w:p w14:paraId="31FC1AB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（1）基金管理人根据投资需要按照规定开立期货保证金账户及期货交易编</w:t>
      </w:r>
      <w:r>
        <w:rPr>
          <w:rFonts w:ascii="宋体" w:hAnsi="宋体" w:hint="eastAsia"/>
          <w:sz w:val="24"/>
        </w:rPr>
        <w:lastRenderedPageBreak/>
        <w:t>码等，基金托管人按照规定开立期货结算账户等投资所需账户。完成上述账户开立后，基金管理人应以书面形式将期货公司提供的期货保证金账户的初始资金密码和市场监控中心的登录用户名及密码告知基金托管人。资金密码和市场监控中心登录密码重置由基金管理人进行，重置后务必及时通知托管人。</w:t>
      </w:r>
    </w:p>
    <w:p w14:paraId="2F99DDA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基金托管人和基金管理人应当在开户过程中相互配合，并提供所需资料。基金管理人保证所提供的账户开户材料的真实性和有效性，且在相关资料变更后及时将变更的资料提供给基金托管人。</w:t>
      </w:r>
    </w:p>
    <w:p w14:paraId="3CD88A0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（2）因业务发展需要而开立的其他账户，可以根据法律法规和基金合同的规定，由基金管理人协助基金托管人按照有关法律法规和托管协议的约定协商后开立。新账户按有关规定使用并管理。</w:t>
      </w:r>
    </w:p>
    <w:p w14:paraId="5A35451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w:t>
      </w:r>
      <w:r>
        <w:rPr>
          <w:rFonts w:ascii="宋体" w:hAnsi="宋体"/>
          <w:sz w:val="24"/>
        </w:rPr>
        <w:t>法</w:t>
      </w:r>
      <w:r>
        <w:rPr>
          <w:rFonts w:ascii="宋体" w:hAnsi="宋体" w:hint="eastAsia"/>
          <w:sz w:val="24"/>
        </w:rPr>
        <w:t>律法规等有关规定对相关账户的开立和管理另有规定的，从其规定办理。</w:t>
      </w:r>
    </w:p>
    <w:p w14:paraId="48A8E69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7、基金财产投资的有关有价凭证等的保管</w:t>
      </w:r>
    </w:p>
    <w:p w14:paraId="12A3EBA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财产投资的有关实物证券等有价凭证按约定由基金托管人存放于基金托管人的保管库，或存入中央国债登记结算有限责任公司、银行间市场清算所股份有限公司、中国证券登记结算有限责任公司或票据营业中心的代保管库，实物保管凭证由基金托管人持有。实物证券等有价凭证的购买和转让，由基金托管人根据基金管理人的指令办理。基金托管人对由上述存放机构及基金托管人以外机构实际有效控制的有价凭证不承担保管责任。</w:t>
      </w:r>
    </w:p>
    <w:p w14:paraId="35943E9C" w14:textId="77777777" w:rsidR="008A6127" w:rsidRDefault="00437D9F">
      <w:pPr>
        <w:snapToGrid w:val="0"/>
        <w:spacing w:line="360" w:lineRule="auto"/>
        <w:ind w:firstLineChars="200" w:firstLine="480"/>
        <w:rPr>
          <w:rFonts w:ascii="宋体" w:hAnsi="宋体"/>
          <w:sz w:val="24"/>
        </w:rPr>
      </w:pPr>
      <w:r>
        <w:rPr>
          <w:rFonts w:ascii="宋体" w:hAnsi="宋体"/>
          <w:sz w:val="24"/>
        </w:rPr>
        <w:t>8</w:t>
      </w:r>
      <w:r>
        <w:rPr>
          <w:rFonts w:ascii="宋体" w:hAnsi="宋体" w:hint="eastAsia"/>
          <w:sz w:val="24"/>
        </w:rPr>
        <w:t>、与基金财产有关的重大合同的保管</w:t>
      </w:r>
    </w:p>
    <w:p w14:paraId="1332B17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由基金管理人代表基金签署的、与基金财产有关的重大合同的原件分别由基金管理人、基金托管人保管。除托管协议另有规定外，基金管理人代表基金签署的与基金财产有关的重大合同应保证基金管理人和基金托管人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不低于法律法规规定的最低期限。</w:t>
      </w:r>
    </w:p>
    <w:p w14:paraId="1ACE6D4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14:paraId="7C4246B4" w14:textId="77777777" w:rsidR="008A6127" w:rsidRDefault="00437D9F">
      <w:pPr>
        <w:snapToGrid w:val="0"/>
        <w:spacing w:line="360" w:lineRule="auto"/>
        <w:ind w:firstLineChars="200" w:firstLine="482"/>
        <w:rPr>
          <w:rFonts w:ascii="宋体" w:hAnsi="宋体"/>
          <w:b/>
          <w:kern w:val="0"/>
          <w:sz w:val="24"/>
        </w:rPr>
      </w:pPr>
      <w:bookmarkStart w:id="456" w:name="_Toc19209"/>
      <w:bookmarkStart w:id="457" w:name="_Toc28667"/>
      <w:bookmarkStart w:id="458" w:name="_Toc421532567"/>
      <w:r>
        <w:rPr>
          <w:rFonts w:ascii="宋体" w:hAnsi="宋体" w:hint="eastAsia"/>
          <w:b/>
          <w:kern w:val="0"/>
          <w:sz w:val="24"/>
        </w:rPr>
        <w:lastRenderedPageBreak/>
        <w:t>（五）</w:t>
      </w:r>
      <w:bookmarkEnd w:id="456"/>
      <w:bookmarkEnd w:id="457"/>
      <w:bookmarkEnd w:id="458"/>
      <w:r>
        <w:rPr>
          <w:rFonts w:ascii="宋体" w:hAnsi="宋体" w:hint="eastAsia"/>
          <w:b/>
          <w:kern w:val="0"/>
          <w:sz w:val="24"/>
        </w:rPr>
        <w:t>基金资产净值计算、估值和会计核算</w:t>
      </w:r>
    </w:p>
    <w:p w14:paraId="159F5D6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1、基金资产净值的计算、复核与完成的时间及程序</w:t>
      </w:r>
    </w:p>
    <w:p w14:paraId="1DCF158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（1）基金资产净值基金资产净值是指基金资产总值减去基金负债后的价值。</w:t>
      </w:r>
    </w:p>
    <w:p w14:paraId="2C7AB9F6"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各类基金份额净值是按照每个工作日闭市后，该类基金资产净值除以当日该类基金份额的余额数量计算，精确到0.0001元，小数点后第5位四舍五入，由此产生的收益或损失由基金财产承担。基金管理人可以设立大额赎回情形下的净值精度应急调整机制。国家另有规定的，从其规定。</w:t>
      </w:r>
    </w:p>
    <w:p w14:paraId="7B3CCF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w:t>
      </w:r>
      <w:proofErr w:type="gramStart"/>
      <w:r>
        <w:rPr>
          <w:rFonts w:ascii="宋体" w:hAnsi="宋体" w:hint="eastAsia"/>
          <w:sz w:val="24"/>
        </w:rPr>
        <w:t>应每个</w:t>
      </w:r>
      <w:proofErr w:type="gramEnd"/>
      <w:r>
        <w:rPr>
          <w:rFonts w:ascii="宋体" w:hAnsi="宋体" w:hint="eastAsia"/>
          <w:sz w:val="24"/>
        </w:rPr>
        <w:t>工作日计算基金资产净值及各类别基金份额净值，并按规定公告。</w:t>
      </w:r>
    </w:p>
    <w:p w14:paraId="66FFEFC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（2）复核程序</w:t>
      </w:r>
    </w:p>
    <w:p w14:paraId="039FC8D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w:t>
      </w:r>
      <w:proofErr w:type="gramStart"/>
      <w:r>
        <w:rPr>
          <w:rFonts w:ascii="宋体" w:hAnsi="宋体" w:hint="eastAsia"/>
          <w:sz w:val="24"/>
        </w:rPr>
        <w:t>应每个</w:t>
      </w:r>
      <w:proofErr w:type="gramEnd"/>
      <w:r>
        <w:rPr>
          <w:rFonts w:ascii="宋体" w:hAnsi="宋体" w:hint="eastAsia"/>
          <w:sz w:val="24"/>
        </w:rPr>
        <w:t>工作日对基金资产估值，但基金管理人根据法律法规或基金合同的规定暂停估值时除外。基金管理人每个工作日对基金资产估值后，将估值结果发送基金托管人，经基金托管人复核无误后，由基金管理人对外公布。但基金管理人根据法律法规或基金合同的规定暂停估值时除外。</w:t>
      </w:r>
    </w:p>
    <w:p w14:paraId="23E7D3F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对外予以公布。</w:t>
      </w:r>
    </w:p>
    <w:p w14:paraId="0FBC777E"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2、基金资产的估值</w:t>
      </w:r>
    </w:p>
    <w:p w14:paraId="4C40C37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基金管理人及基金托管人应当按照《基金合同》的约定进行估值。</w:t>
      </w:r>
    </w:p>
    <w:p w14:paraId="6B966F09"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、基金份额净值错误的处理方式</w:t>
      </w:r>
    </w:p>
    <w:p w14:paraId="052E93D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基金管理人及基金托管人应当按照《基金合同》的约定处理份额净值错误。</w:t>
      </w:r>
    </w:p>
    <w:p w14:paraId="66E9BA5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4、基金会计制度</w:t>
      </w:r>
    </w:p>
    <w:p w14:paraId="2F9DF698"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按国家有关部门规定的会计制度执行。</w:t>
      </w:r>
    </w:p>
    <w:p w14:paraId="5A09E309" w14:textId="77777777" w:rsidR="008A6127" w:rsidRDefault="00437D9F">
      <w:pPr>
        <w:snapToGrid w:val="0"/>
        <w:spacing w:line="360" w:lineRule="auto"/>
        <w:ind w:firstLineChars="200" w:firstLine="480"/>
        <w:rPr>
          <w:rFonts w:ascii="宋体" w:hAnsi="宋体"/>
          <w:sz w:val="24"/>
        </w:rPr>
      </w:pPr>
      <w:r>
        <w:rPr>
          <w:rFonts w:ascii="宋体" w:hAnsi="宋体"/>
          <w:sz w:val="24"/>
        </w:rPr>
        <w:t>5</w:t>
      </w:r>
      <w:r>
        <w:rPr>
          <w:rFonts w:ascii="宋体" w:hAnsi="宋体" w:hint="eastAsia"/>
          <w:sz w:val="24"/>
        </w:rPr>
        <w:t>、基金账册的建立</w:t>
      </w:r>
    </w:p>
    <w:p w14:paraId="4857A47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14:paraId="654E2F8B" w14:textId="77777777" w:rsidR="008A6127" w:rsidRDefault="00437D9F">
      <w:pPr>
        <w:snapToGrid w:val="0"/>
        <w:spacing w:line="360" w:lineRule="auto"/>
        <w:ind w:firstLineChars="200" w:firstLine="480"/>
        <w:rPr>
          <w:rFonts w:ascii="宋体" w:hAnsi="宋体"/>
          <w:sz w:val="24"/>
        </w:rPr>
      </w:pPr>
      <w:r>
        <w:rPr>
          <w:rFonts w:ascii="宋体" w:hAnsi="宋体"/>
          <w:sz w:val="24"/>
        </w:rPr>
        <w:t>6</w:t>
      </w:r>
      <w:r>
        <w:rPr>
          <w:rFonts w:ascii="宋体" w:hAnsi="宋体" w:hint="eastAsia"/>
          <w:sz w:val="24"/>
        </w:rPr>
        <w:t>、基金财务报表与报告的编制和复核</w:t>
      </w:r>
    </w:p>
    <w:p w14:paraId="0382C31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（1）财务报表的编制</w:t>
      </w:r>
    </w:p>
    <w:p w14:paraId="4A81EEF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基金财务报表由基金管理人编制，基金托管人复核。</w:t>
      </w:r>
    </w:p>
    <w:p w14:paraId="75B85AE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（2）报表复核</w:t>
      </w:r>
    </w:p>
    <w:p w14:paraId="3C8366F2"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基金托管人在收到基金管理人编制的基金财务报表后，进行独立的复核。核对不符时，应及时通知基金管理人共同查出原因，进行调整，直至双方数据完全一致。</w:t>
      </w:r>
    </w:p>
    <w:p w14:paraId="1811197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（3）财务报表的编制与复核时间安排</w:t>
      </w:r>
    </w:p>
    <w:p w14:paraId="630AFC5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基金托管人应当在每月结束后5个工作日内完成月度报表的编制及复核；在每个季度结束之日起15个工作日内完成基金季度报告的编制及复核；在上半年结束之日起两个月内完成基金中期报告的编制及复核；在每年结束之日起三个月内完成基金年度报告的编制及复核。基金托管人在复核过程中，发现双方的报表存在不符时，基金管理人和基金托管人应共同查明原因，进行调整，调整以国家有关规定为准。基金年度报告的财务会计报告应当经过审计。基金合同生效不足两个月的，基金管理人可以不编制当期季度报告、中期报告或者年度报告。</w:t>
      </w:r>
    </w:p>
    <w:p w14:paraId="377F7717"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7、在有需要时，基金管理人应每季度向基金托管人提供基金业绩比较基准的基础数据和编制结果。</w:t>
      </w:r>
    </w:p>
    <w:p w14:paraId="30086CE5" w14:textId="77777777" w:rsidR="008A6127" w:rsidRDefault="00437D9F">
      <w:pPr>
        <w:snapToGrid w:val="0"/>
        <w:spacing w:line="360" w:lineRule="auto"/>
        <w:ind w:firstLineChars="200" w:firstLine="482"/>
        <w:rPr>
          <w:rFonts w:ascii="宋体" w:hAnsi="宋体"/>
          <w:b/>
          <w:kern w:val="0"/>
          <w:sz w:val="24"/>
        </w:rPr>
      </w:pPr>
      <w:bookmarkStart w:id="459" w:name="_Toc859"/>
      <w:bookmarkStart w:id="460" w:name="_Toc22226"/>
      <w:bookmarkStart w:id="461" w:name="_Toc421532568"/>
      <w:r>
        <w:rPr>
          <w:rFonts w:ascii="宋体" w:hAnsi="宋体" w:hint="eastAsia"/>
          <w:b/>
          <w:kern w:val="0"/>
          <w:sz w:val="24"/>
        </w:rPr>
        <w:t>（六）</w:t>
      </w:r>
      <w:bookmarkEnd w:id="459"/>
      <w:bookmarkEnd w:id="460"/>
      <w:bookmarkEnd w:id="461"/>
      <w:r>
        <w:rPr>
          <w:rFonts w:ascii="宋体" w:hAnsi="宋体" w:hint="eastAsia"/>
          <w:b/>
          <w:kern w:val="0"/>
          <w:sz w:val="24"/>
        </w:rPr>
        <w:t>基金份额持有人名册的保管</w:t>
      </w:r>
    </w:p>
    <w:p w14:paraId="4E46683B"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份额持有人名册至少应包括基金份额持有人的名称、证件号码和持有的基金份额。基金份额持有人名册由基金登记机构根据基金管理人的指令编制和保管，基金管理人和基金托管人应分别保管基金份额持有人名册，保存期不少于法律法规要求的最低时限。如不能妥善保管，则按相关法律法规承担责任。</w:t>
      </w:r>
    </w:p>
    <w:p w14:paraId="7E196D8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在基金托管人要求或编制中期报告和年度报告前，基金管理人应将有关资料送交基金托管人，不得无故拒绝或延误提供，并保证其的真实性、准确性和完整性。基金管理人和托管人不得将所保管的基金份额持有人名册用于基金托管业务以外的其他用途，并应遵守保密义务。</w:t>
      </w:r>
    </w:p>
    <w:p w14:paraId="308AF868" w14:textId="77777777" w:rsidR="008A6127" w:rsidRDefault="00437D9F">
      <w:pPr>
        <w:snapToGrid w:val="0"/>
        <w:spacing w:line="360" w:lineRule="auto"/>
        <w:ind w:firstLineChars="200" w:firstLine="482"/>
        <w:rPr>
          <w:rFonts w:ascii="宋体" w:hAnsi="宋体"/>
          <w:b/>
          <w:kern w:val="0"/>
          <w:sz w:val="24"/>
        </w:rPr>
      </w:pPr>
      <w:bookmarkStart w:id="462" w:name="_Toc1328"/>
      <w:bookmarkStart w:id="463" w:name="_Toc421532569"/>
      <w:bookmarkStart w:id="464" w:name="_Toc7104"/>
      <w:bookmarkStart w:id="465" w:name="_Toc384992708"/>
      <w:bookmarkStart w:id="466" w:name="_Toc348082046"/>
      <w:bookmarkStart w:id="467" w:name="_Toc25560"/>
      <w:r>
        <w:rPr>
          <w:rFonts w:ascii="宋体" w:hAnsi="宋体" w:hint="eastAsia"/>
          <w:b/>
          <w:kern w:val="0"/>
          <w:sz w:val="24"/>
        </w:rPr>
        <w:t>（七）争议解决方式</w:t>
      </w:r>
      <w:bookmarkEnd w:id="462"/>
      <w:bookmarkEnd w:id="463"/>
      <w:bookmarkEnd w:id="464"/>
      <w:bookmarkEnd w:id="465"/>
      <w:bookmarkEnd w:id="466"/>
      <w:bookmarkEnd w:id="467"/>
    </w:p>
    <w:p w14:paraId="5E68821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各方当事人同意，因托管协议而产生的或与托管协议有关的一切争议，如经友好协商未能解决的，任何一方均有权将争议提交深圳国际仲裁院，按照深圳国际仲裁院届时有效的仲裁规则进行仲裁，仲裁地点为深圳市。仲裁裁决是终局性的并对各方当事人均具有约束力。除非仲裁裁决另有规定，仲裁费由败诉方承担。</w:t>
      </w:r>
    </w:p>
    <w:p w14:paraId="6A52FA0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lastRenderedPageBreak/>
        <w:t>争议处理期间，双方当事人应恪守基金管理人和基金托管人各自的职责，继续忠实、勤勉、尽责地履行《基金合同》和本托管协议规定的义务，维护基金份额持有人的合法权益。</w:t>
      </w:r>
    </w:p>
    <w:p w14:paraId="0C4DCFC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托管协议受中国法律（不含港澳台地区法律）管辖。</w:t>
      </w:r>
    </w:p>
    <w:p w14:paraId="2029EAB4" w14:textId="77777777" w:rsidR="008A6127" w:rsidRDefault="00437D9F">
      <w:pPr>
        <w:snapToGrid w:val="0"/>
        <w:spacing w:line="360" w:lineRule="auto"/>
        <w:ind w:firstLineChars="200" w:firstLine="482"/>
        <w:rPr>
          <w:rFonts w:ascii="宋体" w:hAnsi="宋体"/>
          <w:b/>
          <w:kern w:val="0"/>
          <w:sz w:val="24"/>
        </w:rPr>
      </w:pPr>
      <w:bookmarkStart w:id="468" w:name="_Toc421532570"/>
      <w:bookmarkStart w:id="469" w:name="_Toc630"/>
      <w:bookmarkStart w:id="470" w:name="_Toc4499"/>
      <w:r>
        <w:rPr>
          <w:rFonts w:ascii="宋体" w:hAnsi="宋体" w:hint="eastAsia"/>
          <w:b/>
          <w:kern w:val="0"/>
          <w:sz w:val="24"/>
        </w:rPr>
        <w:t>（八）</w:t>
      </w:r>
      <w:bookmarkEnd w:id="468"/>
      <w:bookmarkEnd w:id="469"/>
      <w:bookmarkEnd w:id="470"/>
      <w:r>
        <w:rPr>
          <w:rFonts w:ascii="宋体" w:hAnsi="宋体" w:hint="eastAsia"/>
          <w:b/>
          <w:kern w:val="0"/>
          <w:sz w:val="24"/>
        </w:rPr>
        <w:t>托管协议的变更、终止与基金财产的清算</w:t>
      </w:r>
    </w:p>
    <w:p w14:paraId="031DBF3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1、托管协议的变更程序</w:t>
      </w:r>
    </w:p>
    <w:p w14:paraId="273CF02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托管协议双方当事人经协商一致，可以对协议进行修改。修改后的新协议，其内容不得与基金合同的规定有任何冲突。基金托管协议的变更应报中国证监会备案。</w:t>
      </w:r>
    </w:p>
    <w:p w14:paraId="67D4EB58"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、基金托管协议终止的情形</w:t>
      </w:r>
    </w:p>
    <w:p w14:paraId="6E557924"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（1）《基金合同》终止；</w:t>
      </w:r>
    </w:p>
    <w:p w14:paraId="601542A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（2）基金托管人因解散、破产、撤销等事由，不能继续担任基金托管人的职务，而在6个月内无其他适当的托管机构承接其原有权利义务；</w:t>
      </w:r>
    </w:p>
    <w:p w14:paraId="2AABD691"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（3）基金管理人因解散、破产、撤销等事由，不能继续担任基金管理人的职务，而在6个月内无其他适当的基金管理公司承接其原有权利义务；</w:t>
      </w:r>
    </w:p>
    <w:p w14:paraId="1D534BD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（4）发生法律法规或《基金合同》规定的其他终止事项。</w:t>
      </w:r>
    </w:p>
    <w:p w14:paraId="1F918F23"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3、基金财产的清算</w:t>
      </w:r>
    </w:p>
    <w:p w14:paraId="2E2CFA3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基金管理人与基金托管人按照《基金合同》的约定处理基金财产的清算。</w:t>
      </w:r>
    </w:p>
    <w:p w14:paraId="0E891623"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宋体" w:hAnsi="宋体"/>
          <w:kern w:val="2"/>
          <w:sz w:val="24"/>
          <w:szCs w:val="24"/>
        </w:rPr>
        <w:br w:type="page"/>
      </w:r>
      <w:bookmarkStart w:id="471" w:name="_Toc11198"/>
      <w:bookmarkStart w:id="472" w:name="_Toc405455137"/>
      <w:bookmarkStart w:id="473" w:name="_Toc31821"/>
      <w:bookmarkStart w:id="474" w:name="_Toc360794530"/>
      <w:bookmarkStart w:id="475" w:name="_Toc23255"/>
      <w:bookmarkStart w:id="476" w:name="_Toc27266"/>
      <w:bookmarkStart w:id="477" w:name="_Toc362533469"/>
      <w:bookmarkStart w:id="478" w:name="_Toc362455197"/>
      <w:bookmarkStart w:id="479" w:name="_Toc360794422"/>
      <w:bookmarkStart w:id="480" w:name="_Toc360793512"/>
      <w:bookmarkStart w:id="481" w:name="_Toc2019"/>
      <w:bookmarkStart w:id="482" w:name="_Toc360794114"/>
      <w:bookmarkStart w:id="483" w:name="_Toc360793864"/>
      <w:bookmarkStart w:id="484" w:name="_Toc421532571"/>
      <w:bookmarkStart w:id="485" w:name="_Toc204678800"/>
      <w:r>
        <w:rPr>
          <w:rFonts w:ascii="Cambria" w:hAnsi="Cambria" w:hint="eastAsia"/>
          <w:sz w:val="32"/>
          <w:szCs w:val="32"/>
        </w:rPr>
        <w:lastRenderedPageBreak/>
        <w:t>对基金份额持有人的服务</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3C22E8A0"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基金管理人承诺为基金份额持有人提供一系列的服务，并根据基金份额持有人的需要和市场的变化，适时对服务项目进行调整。如因系统、第三方或不可抗力等原因，导致下述服务无法提供的，基金管理人不承担相关责任。主要服务内容如下：</w:t>
      </w:r>
    </w:p>
    <w:p w14:paraId="22430689"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（一）基金份额持有人的账务服务</w:t>
      </w:r>
    </w:p>
    <w:p w14:paraId="005E8965"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、基金份额持有人可登录基金管理人网站或通过客服热线查询交易确认情况；</w:t>
      </w:r>
    </w:p>
    <w:p w14:paraId="45C99014"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hint="eastAsia"/>
          <w:sz w:val="24"/>
          <w:lang w:eastAsia="zh-Hans"/>
        </w:rPr>
        <w:t>本公司至少每年度以电子邮件或其他形式向通过直销渠道持有本公司基金的份额持有人提供基金保有情况信息</w:t>
      </w:r>
      <w:r>
        <w:rPr>
          <w:rFonts w:ascii="宋体" w:hAnsi="宋体"/>
          <w:sz w:val="24"/>
          <w:lang w:eastAsia="zh-Hans"/>
        </w:rPr>
        <w:t>。</w:t>
      </w:r>
      <w:r>
        <w:rPr>
          <w:rFonts w:ascii="宋体" w:hAnsi="宋体" w:hint="eastAsia"/>
          <w:sz w:val="24"/>
        </w:rPr>
        <w:t>基金份额持有人可向基金管理</w:t>
      </w:r>
      <w:proofErr w:type="gramStart"/>
      <w:r>
        <w:rPr>
          <w:rFonts w:ascii="宋体" w:hAnsi="宋体" w:hint="eastAsia"/>
          <w:sz w:val="24"/>
        </w:rPr>
        <w:t>人客户</w:t>
      </w:r>
      <w:proofErr w:type="gramEnd"/>
      <w:r>
        <w:rPr>
          <w:rFonts w:ascii="宋体" w:hAnsi="宋体" w:hint="eastAsia"/>
          <w:sz w:val="24"/>
        </w:rPr>
        <w:t>服务中心订制电子邮件或短信形式的交易对账单，基金管理人每月向定制电子账单的基金份额持有人发送电子账单；</w:t>
      </w:r>
    </w:p>
    <w:p w14:paraId="60A9256F"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交易账单的查询和订制具体方法可参见基金管理人网站或拨打客服热线咨询。</w:t>
      </w:r>
    </w:p>
    <w:p w14:paraId="540DF734"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（二）电话咨询服务</w:t>
      </w:r>
    </w:p>
    <w:p w14:paraId="36D1649A" w14:textId="77777777" w:rsidR="008A6127" w:rsidRDefault="00437D9F">
      <w:pPr>
        <w:snapToGrid w:val="0"/>
        <w:spacing w:line="360" w:lineRule="auto"/>
        <w:ind w:firstLineChars="200" w:firstLine="480"/>
        <w:rPr>
          <w:rFonts w:ascii="宋体" w:hAnsi="宋体"/>
          <w:sz w:val="24"/>
        </w:rPr>
      </w:pPr>
      <w:r>
        <w:rPr>
          <w:rFonts w:ascii="宋体" w:hAnsi="宋体"/>
          <w:sz w:val="24"/>
        </w:rPr>
        <w:t>1</w:t>
      </w:r>
      <w:r>
        <w:rPr>
          <w:rFonts w:ascii="宋体" w:hAnsi="宋体" w:hint="eastAsia"/>
          <w:sz w:val="24"/>
        </w:rPr>
        <w:t>、理财咨询服务：人工理财咨询、账户查询、持有人个人资料完善等；</w:t>
      </w:r>
    </w:p>
    <w:p w14:paraId="1A0D3234"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、自动语音服务：电话中心自动语音系统提供</w:t>
      </w:r>
      <w:r>
        <w:rPr>
          <w:rFonts w:ascii="宋体" w:hAnsi="宋体"/>
          <w:sz w:val="24"/>
        </w:rPr>
        <w:t xml:space="preserve">24 </w:t>
      </w:r>
      <w:r>
        <w:rPr>
          <w:rFonts w:ascii="宋体" w:hAnsi="宋体" w:hint="eastAsia"/>
          <w:sz w:val="24"/>
        </w:rPr>
        <w:t>小时查询服务，持有人可通过电话自助方式，查询基金代码、基金份额净值、基金产品介绍等信息，也可以查询到基金账户余额、分红信息、交易记录等个人账户信息；</w:t>
      </w:r>
    </w:p>
    <w:p w14:paraId="074BA898"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w:t>
      </w:r>
      <w:r>
        <w:rPr>
          <w:rFonts w:ascii="宋体" w:hAnsi="宋体"/>
          <w:sz w:val="24"/>
        </w:rPr>
        <w:t xml:space="preserve">7×24 </w:t>
      </w:r>
      <w:r>
        <w:rPr>
          <w:rFonts w:ascii="宋体" w:hAnsi="宋体" w:hint="eastAsia"/>
          <w:sz w:val="24"/>
        </w:rPr>
        <w:t>小时留言信箱：若不在人工服务时间可留言，基金管理人会尽快在</w:t>
      </w:r>
      <w:r>
        <w:rPr>
          <w:rFonts w:ascii="宋体" w:hAnsi="宋体"/>
          <w:sz w:val="24"/>
        </w:rPr>
        <w:t>2</w:t>
      </w:r>
      <w:r>
        <w:rPr>
          <w:rFonts w:ascii="宋体" w:hAnsi="宋体" w:hint="eastAsia"/>
          <w:sz w:val="24"/>
        </w:rPr>
        <w:t>个工作日内回电。</w:t>
      </w:r>
    </w:p>
    <w:p w14:paraId="7C8F8F6E"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（三）客户投诉及建议受理服务</w:t>
      </w:r>
    </w:p>
    <w:p w14:paraId="2A7E625A"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持有人可以通过电话、信函、电邮、传真、来访等方式提出咨询、建议、投诉等需求，基金管理人将尽快给予回复，并在处理进程中随时给予跟踪反馈。</w:t>
      </w:r>
    </w:p>
    <w:p w14:paraId="4D8FE60B"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（四）信息定制服务</w:t>
      </w:r>
    </w:p>
    <w:p w14:paraId="24791B8D"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持有人可以通过拨打基金管理</w:t>
      </w:r>
      <w:proofErr w:type="gramStart"/>
      <w:r>
        <w:rPr>
          <w:rFonts w:ascii="宋体" w:hAnsi="宋体" w:hint="eastAsia"/>
          <w:sz w:val="24"/>
        </w:rPr>
        <w:t>人客户</w:t>
      </w:r>
      <w:proofErr w:type="gramEnd"/>
      <w:r>
        <w:rPr>
          <w:rFonts w:ascii="宋体" w:hAnsi="宋体" w:hint="eastAsia"/>
          <w:sz w:val="24"/>
        </w:rPr>
        <w:t>服务电话订制（退订）免费的手机短信资讯，内容包括基金净值、交易确认、电子账单、相关基金资讯信息以及电子资讯刊物等。</w:t>
      </w:r>
    </w:p>
    <w:p w14:paraId="5522A4BF"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（五）联系基金管理人</w:t>
      </w:r>
    </w:p>
    <w:p w14:paraId="2D1719E4" w14:textId="77777777" w:rsidR="008A6127" w:rsidRDefault="00437D9F">
      <w:pPr>
        <w:snapToGrid w:val="0"/>
        <w:spacing w:line="360" w:lineRule="auto"/>
        <w:ind w:firstLineChars="200" w:firstLine="480"/>
        <w:rPr>
          <w:rFonts w:ascii="宋体" w:hAnsi="宋体"/>
          <w:sz w:val="24"/>
        </w:rPr>
      </w:pPr>
      <w:r>
        <w:rPr>
          <w:rFonts w:ascii="宋体" w:hAnsi="宋体"/>
          <w:sz w:val="24"/>
        </w:rPr>
        <w:lastRenderedPageBreak/>
        <w:t>1</w:t>
      </w:r>
      <w:r>
        <w:rPr>
          <w:rFonts w:ascii="宋体" w:hAnsi="宋体" w:hint="eastAsia"/>
          <w:sz w:val="24"/>
        </w:rPr>
        <w:t>、网址：</w:t>
      </w:r>
      <w:r>
        <w:rPr>
          <w:rFonts w:ascii="宋体" w:hAnsi="宋体"/>
          <w:sz w:val="24"/>
        </w:rPr>
        <w:t>www.rosefinchfund.com</w:t>
      </w:r>
      <w:r>
        <w:rPr>
          <w:rFonts w:ascii="宋体" w:hAnsi="宋体" w:hint="eastAsia"/>
          <w:sz w:val="24"/>
        </w:rPr>
        <w:t>；</w:t>
      </w:r>
    </w:p>
    <w:p w14:paraId="6A4905E2" w14:textId="77777777" w:rsidR="008A6127" w:rsidRDefault="00437D9F">
      <w:pPr>
        <w:snapToGrid w:val="0"/>
        <w:spacing w:line="360" w:lineRule="auto"/>
        <w:ind w:firstLineChars="200" w:firstLine="480"/>
        <w:rPr>
          <w:rFonts w:ascii="宋体" w:hAnsi="宋体"/>
          <w:sz w:val="24"/>
        </w:rPr>
      </w:pPr>
      <w:r>
        <w:rPr>
          <w:rFonts w:ascii="宋体" w:hAnsi="宋体"/>
          <w:sz w:val="24"/>
        </w:rPr>
        <w:t>2</w:t>
      </w:r>
      <w:r>
        <w:rPr>
          <w:rFonts w:ascii="宋体" w:hAnsi="宋体" w:hint="eastAsia"/>
          <w:sz w:val="24"/>
        </w:rPr>
        <w:t>、电子邮箱：service@rosefinch.cn；</w:t>
      </w:r>
    </w:p>
    <w:p w14:paraId="0E73A8F0" w14:textId="77777777" w:rsidR="008A6127" w:rsidRDefault="00437D9F">
      <w:pPr>
        <w:snapToGrid w:val="0"/>
        <w:spacing w:line="360" w:lineRule="auto"/>
        <w:ind w:firstLineChars="200" w:firstLine="480"/>
        <w:rPr>
          <w:rFonts w:ascii="宋体" w:hAnsi="宋体"/>
          <w:sz w:val="24"/>
        </w:rPr>
      </w:pPr>
      <w:r>
        <w:rPr>
          <w:rFonts w:ascii="宋体" w:hAnsi="宋体"/>
          <w:sz w:val="24"/>
        </w:rPr>
        <w:t>3</w:t>
      </w:r>
      <w:r>
        <w:rPr>
          <w:rFonts w:ascii="宋体" w:hAnsi="宋体" w:hint="eastAsia"/>
          <w:sz w:val="24"/>
        </w:rPr>
        <w:t>、客户服务热线：</w:t>
      </w:r>
      <w:r>
        <w:rPr>
          <w:rFonts w:ascii="宋体" w:hAnsi="宋体"/>
          <w:sz w:val="24"/>
        </w:rPr>
        <w:t>4009217211</w:t>
      </w:r>
      <w:r>
        <w:rPr>
          <w:rFonts w:ascii="宋体" w:hAnsi="宋体" w:hint="eastAsia"/>
          <w:sz w:val="24"/>
        </w:rPr>
        <w:t>（全国免长途话费）；</w:t>
      </w:r>
    </w:p>
    <w:p w14:paraId="0624C001" w14:textId="77777777" w:rsidR="008A6127" w:rsidRDefault="00437D9F">
      <w:pPr>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、基金管理人办公地址：上海市浦东新区海阳西路555号前</w:t>
      </w:r>
      <w:proofErr w:type="gramStart"/>
      <w:r>
        <w:rPr>
          <w:rFonts w:ascii="宋体" w:hAnsi="宋体" w:hint="eastAsia"/>
          <w:sz w:val="24"/>
        </w:rPr>
        <w:t>滩中心</w:t>
      </w:r>
      <w:proofErr w:type="gramEnd"/>
      <w:r>
        <w:rPr>
          <w:rFonts w:ascii="宋体" w:hAnsi="宋体" w:hint="eastAsia"/>
          <w:sz w:val="24"/>
        </w:rPr>
        <w:t>58层</w:t>
      </w:r>
    </w:p>
    <w:p w14:paraId="4AE69E69" w14:textId="77777777" w:rsidR="008A6127" w:rsidRDefault="00437D9F">
      <w:pPr>
        <w:snapToGrid w:val="0"/>
        <w:spacing w:line="360" w:lineRule="auto"/>
        <w:ind w:firstLineChars="200" w:firstLine="480"/>
        <w:rPr>
          <w:rFonts w:ascii="宋体" w:hAnsi="宋体"/>
          <w:sz w:val="24"/>
        </w:rPr>
      </w:pPr>
      <w:r>
        <w:rPr>
          <w:rFonts w:ascii="宋体" w:hAnsi="宋体" w:hint="eastAsia"/>
          <w:sz w:val="24"/>
        </w:rPr>
        <w:t>5、邮编：</w:t>
      </w:r>
      <w:r>
        <w:rPr>
          <w:rFonts w:ascii="宋体" w:hAnsi="宋体"/>
          <w:sz w:val="24"/>
        </w:rPr>
        <w:t>200126</w:t>
      </w:r>
    </w:p>
    <w:p w14:paraId="0C57F6E4" w14:textId="77777777" w:rsidR="008A6127" w:rsidRDefault="00437D9F">
      <w:pPr>
        <w:snapToGrid w:val="0"/>
        <w:spacing w:line="360" w:lineRule="auto"/>
        <w:ind w:firstLineChars="200" w:firstLine="482"/>
        <w:rPr>
          <w:rFonts w:ascii="宋体" w:hAnsi="宋体"/>
          <w:b/>
          <w:kern w:val="0"/>
          <w:sz w:val="24"/>
        </w:rPr>
      </w:pPr>
      <w:r>
        <w:rPr>
          <w:rFonts w:ascii="宋体" w:hAnsi="宋体" w:hint="eastAsia"/>
          <w:b/>
          <w:kern w:val="0"/>
          <w:sz w:val="24"/>
        </w:rPr>
        <w:t>（六）如本招募说明书存在任何您</w:t>
      </w:r>
      <w:r>
        <w:rPr>
          <w:rFonts w:ascii="宋体" w:hAnsi="宋体"/>
          <w:b/>
          <w:kern w:val="0"/>
          <w:sz w:val="24"/>
        </w:rPr>
        <w:t>/</w:t>
      </w:r>
      <w:proofErr w:type="gramStart"/>
      <w:r>
        <w:rPr>
          <w:rFonts w:ascii="宋体" w:hAnsi="宋体" w:hint="eastAsia"/>
          <w:b/>
          <w:kern w:val="0"/>
          <w:sz w:val="24"/>
        </w:rPr>
        <w:t>贵机构</w:t>
      </w:r>
      <w:proofErr w:type="gramEnd"/>
      <w:r>
        <w:rPr>
          <w:rFonts w:ascii="宋体" w:hAnsi="宋体" w:hint="eastAsia"/>
          <w:b/>
          <w:kern w:val="0"/>
          <w:sz w:val="24"/>
        </w:rPr>
        <w:t>无法理解的内容，请通过上述方式联系基金管理人。</w:t>
      </w:r>
      <w:proofErr w:type="gramStart"/>
      <w:r>
        <w:rPr>
          <w:rFonts w:ascii="宋体" w:hAnsi="宋体" w:hint="eastAsia"/>
          <w:b/>
          <w:kern w:val="0"/>
          <w:sz w:val="24"/>
        </w:rPr>
        <w:t>请确保</w:t>
      </w:r>
      <w:proofErr w:type="gramEnd"/>
      <w:r>
        <w:rPr>
          <w:rFonts w:ascii="宋体" w:hAnsi="宋体" w:hint="eastAsia"/>
          <w:b/>
          <w:kern w:val="0"/>
          <w:sz w:val="24"/>
        </w:rPr>
        <w:t>投资前，您</w:t>
      </w:r>
      <w:r>
        <w:rPr>
          <w:rFonts w:ascii="宋体" w:hAnsi="宋体"/>
          <w:b/>
          <w:kern w:val="0"/>
          <w:sz w:val="24"/>
        </w:rPr>
        <w:t>/</w:t>
      </w:r>
      <w:proofErr w:type="gramStart"/>
      <w:r>
        <w:rPr>
          <w:rFonts w:ascii="宋体" w:hAnsi="宋体" w:hint="eastAsia"/>
          <w:b/>
          <w:kern w:val="0"/>
          <w:sz w:val="24"/>
        </w:rPr>
        <w:t>贵机</w:t>
      </w:r>
      <w:proofErr w:type="gramEnd"/>
      <w:r>
        <w:rPr>
          <w:rFonts w:ascii="宋体" w:hAnsi="宋体" w:hint="eastAsia"/>
          <w:b/>
          <w:kern w:val="0"/>
          <w:sz w:val="24"/>
        </w:rPr>
        <w:t>构已经全面理解了本招募说明书。</w:t>
      </w:r>
    </w:p>
    <w:p w14:paraId="25A74D04"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rPr>
        <w:br w:type="page"/>
      </w:r>
      <w:bookmarkStart w:id="486" w:name="_Toc16597"/>
      <w:bookmarkStart w:id="487" w:name="_Toc3574"/>
      <w:bookmarkStart w:id="488" w:name="_Toc360793865"/>
      <w:bookmarkStart w:id="489" w:name="_Toc360794531"/>
      <w:bookmarkStart w:id="490" w:name="_Toc362455198"/>
      <w:bookmarkStart w:id="491" w:name="_Toc360794115"/>
      <w:bookmarkStart w:id="492" w:name="_Toc360793513"/>
      <w:bookmarkStart w:id="493" w:name="_Toc20796"/>
      <w:bookmarkStart w:id="494" w:name="_Hlk120868644"/>
      <w:bookmarkStart w:id="495" w:name="_Toc421532572"/>
      <w:bookmarkStart w:id="496" w:name="_Toc22397"/>
      <w:bookmarkStart w:id="497" w:name="_Toc405455138"/>
      <w:bookmarkStart w:id="498" w:name="_Toc360794423"/>
      <w:bookmarkStart w:id="499" w:name="_Toc14769"/>
      <w:bookmarkStart w:id="500" w:name="_Toc362533470"/>
      <w:bookmarkStart w:id="501" w:name="_Toc204678801"/>
      <w:r>
        <w:rPr>
          <w:rFonts w:ascii="Cambria" w:hAnsi="Cambria" w:hint="eastAsia"/>
          <w:sz w:val="32"/>
          <w:szCs w:val="32"/>
        </w:rPr>
        <w:lastRenderedPageBreak/>
        <w:t>其他应披露事项</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tbl>
      <w:tblPr>
        <w:tblW w:w="10070" w:type="dxa"/>
        <w:jc w:val="center"/>
        <w:tblLayout w:type="fixed"/>
        <w:tblLook w:val="04A0" w:firstRow="1" w:lastRow="0" w:firstColumn="1" w:lastColumn="0" w:noHBand="0" w:noVBand="1"/>
      </w:tblPr>
      <w:tblGrid>
        <w:gridCol w:w="714"/>
        <w:gridCol w:w="7726"/>
        <w:gridCol w:w="1630"/>
      </w:tblGrid>
      <w:tr w:rsidR="008A6127" w14:paraId="6593394C" w14:textId="77777777">
        <w:trPr>
          <w:trHeight w:val="780"/>
          <w:jc w:val="center"/>
        </w:trPr>
        <w:tc>
          <w:tcPr>
            <w:tcW w:w="714" w:type="dxa"/>
            <w:tcBorders>
              <w:top w:val="single" w:sz="4" w:space="0" w:color="auto"/>
              <w:left w:val="single" w:sz="4" w:space="0" w:color="auto"/>
              <w:bottom w:val="single" w:sz="4" w:space="0" w:color="auto"/>
              <w:right w:val="single" w:sz="4" w:space="0" w:color="auto"/>
            </w:tcBorders>
            <w:shd w:val="clear" w:color="000000" w:fill="BFBFBF"/>
            <w:vAlign w:val="center"/>
          </w:tcPr>
          <w:p w14:paraId="7130B9BB" w14:textId="77777777" w:rsidR="008A6127" w:rsidRDefault="00437D9F">
            <w:pPr>
              <w:widowControl/>
              <w:jc w:val="center"/>
              <w:rPr>
                <w:rFonts w:ascii="宋体" w:hAnsi="宋体" w:cs="宋体"/>
                <w:color w:val="000000"/>
                <w:kern w:val="0"/>
                <w:sz w:val="24"/>
              </w:rPr>
            </w:pPr>
            <w:r>
              <w:rPr>
                <w:rFonts w:ascii="宋体" w:hAnsi="宋体" w:cs="宋体" w:hint="eastAsia"/>
                <w:color w:val="000000"/>
                <w:kern w:val="0"/>
                <w:sz w:val="24"/>
              </w:rPr>
              <w:t>序号</w:t>
            </w:r>
          </w:p>
        </w:tc>
        <w:tc>
          <w:tcPr>
            <w:tcW w:w="7726" w:type="dxa"/>
            <w:tcBorders>
              <w:top w:val="single" w:sz="4" w:space="0" w:color="auto"/>
              <w:left w:val="nil"/>
              <w:bottom w:val="single" w:sz="4" w:space="0" w:color="auto"/>
              <w:right w:val="single" w:sz="4" w:space="0" w:color="auto"/>
            </w:tcBorders>
            <w:shd w:val="clear" w:color="000000" w:fill="BFBFBF"/>
            <w:vAlign w:val="center"/>
          </w:tcPr>
          <w:p w14:paraId="75523656" w14:textId="77777777" w:rsidR="008A6127" w:rsidRDefault="00437D9F">
            <w:pPr>
              <w:widowControl/>
              <w:jc w:val="center"/>
              <w:rPr>
                <w:rFonts w:ascii="宋体" w:hAnsi="宋体" w:cs="宋体"/>
                <w:color w:val="000000"/>
                <w:kern w:val="0"/>
                <w:sz w:val="24"/>
              </w:rPr>
            </w:pPr>
            <w:r>
              <w:rPr>
                <w:rFonts w:ascii="宋体" w:hAnsi="宋体" w:cs="宋体" w:hint="eastAsia"/>
                <w:color w:val="000000"/>
                <w:kern w:val="0"/>
                <w:sz w:val="24"/>
              </w:rPr>
              <w:t>标题</w:t>
            </w:r>
          </w:p>
        </w:tc>
        <w:tc>
          <w:tcPr>
            <w:tcW w:w="1630" w:type="dxa"/>
            <w:tcBorders>
              <w:top w:val="single" w:sz="4" w:space="0" w:color="auto"/>
              <w:left w:val="nil"/>
              <w:bottom w:val="single" w:sz="4" w:space="0" w:color="auto"/>
              <w:right w:val="single" w:sz="4" w:space="0" w:color="auto"/>
            </w:tcBorders>
            <w:shd w:val="clear" w:color="000000" w:fill="BFBFBF"/>
            <w:vAlign w:val="center"/>
          </w:tcPr>
          <w:p w14:paraId="6DFB87BC" w14:textId="77777777" w:rsidR="008A6127" w:rsidRDefault="00437D9F">
            <w:pPr>
              <w:widowControl/>
              <w:jc w:val="center"/>
              <w:rPr>
                <w:rFonts w:ascii="宋体" w:hAnsi="宋体" w:cs="宋体"/>
                <w:color w:val="000000"/>
                <w:kern w:val="0"/>
                <w:sz w:val="24"/>
              </w:rPr>
            </w:pPr>
            <w:r>
              <w:rPr>
                <w:rFonts w:ascii="宋体" w:hAnsi="宋体" w:cs="宋体" w:hint="eastAsia"/>
                <w:color w:val="000000"/>
                <w:kern w:val="0"/>
                <w:sz w:val="24"/>
              </w:rPr>
              <w:t>公告日期</w:t>
            </w:r>
          </w:p>
        </w:tc>
      </w:tr>
      <w:tr w:rsidR="00F57ABD" w14:paraId="2056B451"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5D97852" w14:textId="6A9B45D6"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w:t>
            </w:r>
          </w:p>
        </w:tc>
        <w:tc>
          <w:tcPr>
            <w:tcW w:w="7726" w:type="dxa"/>
            <w:tcBorders>
              <w:top w:val="nil"/>
              <w:left w:val="nil"/>
              <w:bottom w:val="single" w:sz="4" w:space="0" w:color="auto"/>
              <w:right w:val="single" w:sz="4" w:space="0" w:color="auto"/>
            </w:tcBorders>
            <w:shd w:val="clear" w:color="auto" w:fill="auto"/>
            <w:noWrap/>
          </w:tcPr>
          <w:p w14:paraId="22E9B82F" w14:textId="329A6F82" w:rsidR="00F57ABD" w:rsidRPr="00A85879" w:rsidRDefault="00F57ABD" w:rsidP="00F57ABD">
            <w:pPr>
              <w:widowControl/>
              <w:jc w:val="left"/>
            </w:pPr>
            <w:r w:rsidRPr="00F57ABD">
              <w:rPr>
                <w:rFonts w:hint="eastAsia"/>
              </w:rPr>
              <w:t>朱雀基金管理有限公司关于旗下部分基金调整业绩比较基准并修订基金合同等法律文件的公告</w:t>
            </w:r>
          </w:p>
        </w:tc>
        <w:tc>
          <w:tcPr>
            <w:tcW w:w="1630" w:type="dxa"/>
            <w:tcBorders>
              <w:top w:val="nil"/>
              <w:left w:val="nil"/>
              <w:bottom w:val="single" w:sz="4" w:space="0" w:color="auto"/>
              <w:right w:val="single" w:sz="4" w:space="0" w:color="auto"/>
            </w:tcBorders>
            <w:shd w:val="clear" w:color="auto" w:fill="auto"/>
            <w:noWrap/>
          </w:tcPr>
          <w:p w14:paraId="7B4BA71B" w14:textId="60E3B418" w:rsidR="00F57ABD" w:rsidRPr="00A85879" w:rsidRDefault="00F57ABD" w:rsidP="00F57ABD">
            <w:pPr>
              <w:widowControl/>
              <w:jc w:val="center"/>
            </w:pPr>
            <w:r w:rsidRPr="00F57ABD">
              <w:t>2026-08-21</w:t>
            </w:r>
          </w:p>
        </w:tc>
      </w:tr>
      <w:tr w:rsidR="00F57ABD" w14:paraId="38F944B9"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A18DDAD" w14:textId="5183EA05" w:rsidR="00F57ABD" w:rsidRPr="00F57ABD" w:rsidRDefault="00F57ABD" w:rsidP="00F57ABD">
            <w:pPr>
              <w:widowControl/>
              <w:jc w:val="center"/>
              <w:rPr>
                <w:rFonts w:ascii="宋体" w:hAnsi="宋体"/>
                <w:sz w:val="24"/>
              </w:rPr>
            </w:pPr>
            <w:r w:rsidRPr="00F57ABD">
              <w:rPr>
                <w:rFonts w:ascii="宋体" w:hAnsi="宋体" w:hint="eastAsia"/>
                <w:color w:val="000000"/>
                <w:sz w:val="24"/>
              </w:rPr>
              <w:t>2</w:t>
            </w:r>
          </w:p>
        </w:tc>
        <w:tc>
          <w:tcPr>
            <w:tcW w:w="7726" w:type="dxa"/>
            <w:tcBorders>
              <w:top w:val="nil"/>
              <w:left w:val="nil"/>
              <w:bottom w:val="single" w:sz="4" w:space="0" w:color="auto"/>
              <w:right w:val="single" w:sz="4" w:space="0" w:color="auto"/>
            </w:tcBorders>
            <w:shd w:val="clear" w:color="auto" w:fill="auto"/>
            <w:noWrap/>
          </w:tcPr>
          <w:p w14:paraId="66FD18D3" w14:textId="2AA6CDBB" w:rsidR="00F57ABD" w:rsidRPr="006C0299" w:rsidRDefault="00F57ABD" w:rsidP="00F57ABD">
            <w:pPr>
              <w:widowControl/>
              <w:jc w:val="left"/>
            </w:pPr>
            <w:r w:rsidRPr="00A85879">
              <w:rPr>
                <w:rFonts w:hint="eastAsia"/>
              </w:rPr>
              <w:t>朱雀基金管理有限公司关于旗下基金在直销渠道开展费率优惠活动的公告</w:t>
            </w:r>
          </w:p>
        </w:tc>
        <w:tc>
          <w:tcPr>
            <w:tcW w:w="1630" w:type="dxa"/>
            <w:tcBorders>
              <w:top w:val="nil"/>
              <w:left w:val="nil"/>
              <w:bottom w:val="single" w:sz="4" w:space="0" w:color="auto"/>
              <w:right w:val="single" w:sz="4" w:space="0" w:color="auto"/>
            </w:tcBorders>
            <w:shd w:val="clear" w:color="auto" w:fill="auto"/>
            <w:noWrap/>
          </w:tcPr>
          <w:p w14:paraId="16AE54D6" w14:textId="07D7E826" w:rsidR="00F57ABD" w:rsidRPr="00141265" w:rsidRDefault="00F57ABD" w:rsidP="00F57ABD">
            <w:pPr>
              <w:widowControl/>
              <w:jc w:val="center"/>
            </w:pPr>
            <w:r w:rsidRPr="00A85879">
              <w:t>2025-12-26</w:t>
            </w:r>
          </w:p>
        </w:tc>
      </w:tr>
      <w:tr w:rsidR="00F57ABD" w14:paraId="659C234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DCE42C6" w14:textId="4CB5ABD7" w:rsidR="00F57ABD" w:rsidRPr="00F57ABD" w:rsidRDefault="00F57ABD" w:rsidP="00F57ABD">
            <w:pPr>
              <w:widowControl/>
              <w:jc w:val="center"/>
              <w:rPr>
                <w:rFonts w:ascii="宋体" w:hAnsi="宋体"/>
                <w:sz w:val="24"/>
              </w:rPr>
            </w:pPr>
            <w:r w:rsidRPr="00F57ABD">
              <w:rPr>
                <w:rFonts w:ascii="宋体" w:hAnsi="宋体" w:hint="eastAsia"/>
                <w:color w:val="000000"/>
                <w:sz w:val="24"/>
              </w:rPr>
              <w:t>3</w:t>
            </w:r>
          </w:p>
        </w:tc>
        <w:tc>
          <w:tcPr>
            <w:tcW w:w="7726" w:type="dxa"/>
            <w:tcBorders>
              <w:top w:val="nil"/>
              <w:left w:val="nil"/>
              <w:bottom w:val="single" w:sz="4" w:space="0" w:color="auto"/>
              <w:right w:val="single" w:sz="4" w:space="0" w:color="auto"/>
            </w:tcBorders>
            <w:shd w:val="clear" w:color="auto" w:fill="auto"/>
            <w:noWrap/>
          </w:tcPr>
          <w:p w14:paraId="7CE49066" w14:textId="5577EB62" w:rsidR="00F57ABD" w:rsidRPr="006C0299" w:rsidRDefault="00F57ABD" w:rsidP="00F57ABD">
            <w:pPr>
              <w:widowControl/>
              <w:jc w:val="left"/>
            </w:pPr>
            <w:r w:rsidRPr="00A85879">
              <w:rPr>
                <w:rFonts w:hint="eastAsia"/>
              </w:rPr>
              <w:t>朱雀基金管理有限公司关于旗下部分基金</w:t>
            </w:r>
            <w:r w:rsidRPr="00A85879">
              <w:rPr>
                <w:rFonts w:hint="eastAsia"/>
              </w:rPr>
              <w:t>2026</w:t>
            </w:r>
            <w:r w:rsidRPr="00A85879">
              <w:rPr>
                <w:rFonts w:hint="eastAsia"/>
              </w:rPr>
              <w:t>年非港股</w:t>
            </w:r>
            <w:proofErr w:type="gramStart"/>
            <w:r w:rsidRPr="00A85879">
              <w:rPr>
                <w:rFonts w:hint="eastAsia"/>
              </w:rPr>
              <w:t>通交易</w:t>
            </w:r>
            <w:proofErr w:type="gramEnd"/>
            <w:r w:rsidRPr="00A85879">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67849D87" w14:textId="74C341EA" w:rsidR="00F57ABD" w:rsidRPr="00A85879" w:rsidRDefault="00F57ABD" w:rsidP="00F57ABD">
            <w:pPr>
              <w:widowControl/>
              <w:jc w:val="center"/>
            </w:pPr>
            <w:r w:rsidRPr="00A85879">
              <w:t>2025-12-25</w:t>
            </w:r>
          </w:p>
        </w:tc>
      </w:tr>
      <w:tr w:rsidR="00F57ABD" w14:paraId="1B399F42"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C09F824" w14:textId="708E31C4"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w:t>
            </w:r>
          </w:p>
        </w:tc>
        <w:tc>
          <w:tcPr>
            <w:tcW w:w="7726" w:type="dxa"/>
            <w:tcBorders>
              <w:top w:val="nil"/>
              <w:left w:val="nil"/>
              <w:bottom w:val="single" w:sz="4" w:space="0" w:color="auto"/>
              <w:right w:val="single" w:sz="4" w:space="0" w:color="auto"/>
            </w:tcBorders>
            <w:shd w:val="clear" w:color="auto" w:fill="auto"/>
            <w:noWrap/>
          </w:tcPr>
          <w:p w14:paraId="05816DA0" w14:textId="0B5F7EAF" w:rsidR="00F57ABD" w:rsidRDefault="00F57ABD" w:rsidP="00F57ABD">
            <w:pPr>
              <w:widowControl/>
              <w:jc w:val="left"/>
              <w:rPr>
                <w:rFonts w:ascii="宋体" w:hAnsi="宋体" w:cs="宋体"/>
                <w:color w:val="000000"/>
                <w:kern w:val="0"/>
                <w:sz w:val="24"/>
              </w:rPr>
            </w:pPr>
            <w:r w:rsidRPr="006C0299">
              <w:rPr>
                <w:rFonts w:hint="eastAsia"/>
              </w:rPr>
              <w:t>朱雀基金管理有限公司关于旗下部分基金获配非公开发行股票的公告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51573FDB" w14:textId="698BA795" w:rsidR="00F57ABD" w:rsidRDefault="00F57ABD" w:rsidP="00F57ABD">
            <w:pPr>
              <w:widowControl/>
              <w:jc w:val="center"/>
              <w:rPr>
                <w:rFonts w:ascii="宋体" w:hAnsi="宋体" w:cs="宋体"/>
                <w:color w:val="000000"/>
                <w:kern w:val="0"/>
                <w:sz w:val="24"/>
              </w:rPr>
            </w:pPr>
            <w:r w:rsidRPr="00141265">
              <w:t>2025-04-24</w:t>
            </w:r>
          </w:p>
        </w:tc>
      </w:tr>
      <w:tr w:rsidR="00F57ABD" w14:paraId="57B9DE3E"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2871131" w14:textId="1A18242A" w:rsidR="00F57ABD" w:rsidRPr="00F57ABD" w:rsidRDefault="00F57ABD" w:rsidP="00F57ABD">
            <w:pPr>
              <w:widowControl/>
              <w:jc w:val="center"/>
              <w:rPr>
                <w:rFonts w:ascii="宋体" w:hAnsi="宋体"/>
                <w:sz w:val="24"/>
              </w:rPr>
            </w:pPr>
            <w:r w:rsidRPr="00F57ABD">
              <w:rPr>
                <w:rFonts w:ascii="宋体" w:hAnsi="宋体" w:hint="eastAsia"/>
                <w:color w:val="000000"/>
                <w:sz w:val="24"/>
              </w:rPr>
              <w:t>5</w:t>
            </w:r>
          </w:p>
        </w:tc>
        <w:tc>
          <w:tcPr>
            <w:tcW w:w="7726" w:type="dxa"/>
            <w:tcBorders>
              <w:top w:val="nil"/>
              <w:left w:val="nil"/>
              <w:bottom w:val="single" w:sz="4" w:space="0" w:color="auto"/>
              <w:right w:val="single" w:sz="4" w:space="0" w:color="auto"/>
            </w:tcBorders>
            <w:shd w:val="clear" w:color="auto" w:fill="auto"/>
            <w:noWrap/>
          </w:tcPr>
          <w:p w14:paraId="02AB4DC9" w14:textId="475271CF" w:rsidR="00F57ABD" w:rsidRPr="00C5711D" w:rsidRDefault="00F57ABD" w:rsidP="00F57ABD">
            <w:pPr>
              <w:widowControl/>
              <w:jc w:val="left"/>
            </w:pPr>
            <w:r w:rsidRPr="0089403A">
              <w:rPr>
                <w:rFonts w:hint="eastAsia"/>
              </w:rPr>
              <w:t>朱雀基金管理有限公司旗下公</w:t>
            </w:r>
            <w:proofErr w:type="gramStart"/>
            <w:r w:rsidRPr="0089403A">
              <w:rPr>
                <w:rFonts w:hint="eastAsia"/>
              </w:rPr>
              <w:t>募基金</w:t>
            </w:r>
            <w:proofErr w:type="gramEnd"/>
            <w:r w:rsidRPr="0089403A">
              <w:rPr>
                <w:rFonts w:hint="eastAsia"/>
              </w:rPr>
              <w:t>通过证券公司证券交易及佣金支付情况（</w:t>
            </w:r>
            <w:r w:rsidRPr="0089403A">
              <w:rPr>
                <w:rFonts w:hint="eastAsia"/>
              </w:rPr>
              <w:t>2024</w:t>
            </w:r>
            <w:r w:rsidRPr="0089403A">
              <w:rPr>
                <w:rFonts w:hint="eastAsia"/>
              </w:rPr>
              <w:t>年度）</w:t>
            </w:r>
          </w:p>
        </w:tc>
        <w:tc>
          <w:tcPr>
            <w:tcW w:w="1630" w:type="dxa"/>
            <w:tcBorders>
              <w:top w:val="nil"/>
              <w:left w:val="nil"/>
              <w:bottom w:val="single" w:sz="4" w:space="0" w:color="auto"/>
              <w:right w:val="single" w:sz="4" w:space="0" w:color="auto"/>
            </w:tcBorders>
            <w:shd w:val="clear" w:color="auto" w:fill="auto"/>
            <w:noWrap/>
          </w:tcPr>
          <w:p w14:paraId="00D3C85A" w14:textId="40E4F3D5" w:rsidR="00F57ABD" w:rsidRPr="00C5711D" w:rsidRDefault="00F57ABD" w:rsidP="00F57ABD">
            <w:pPr>
              <w:widowControl/>
              <w:jc w:val="center"/>
            </w:pPr>
            <w:r w:rsidRPr="00141265">
              <w:t>2025-03-28</w:t>
            </w:r>
          </w:p>
        </w:tc>
      </w:tr>
      <w:tr w:rsidR="00F57ABD" w14:paraId="113C01EF"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3713465" w14:textId="2B3031C1" w:rsidR="00F57ABD" w:rsidRPr="00F57ABD" w:rsidRDefault="00F57ABD" w:rsidP="00F57ABD">
            <w:pPr>
              <w:widowControl/>
              <w:jc w:val="center"/>
              <w:rPr>
                <w:rFonts w:ascii="宋体" w:hAnsi="宋体"/>
                <w:sz w:val="24"/>
              </w:rPr>
            </w:pPr>
            <w:r w:rsidRPr="00F57ABD">
              <w:rPr>
                <w:rFonts w:ascii="宋体" w:hAnsi="宋体" w:hint="eastAsia"/>
                <w:color w:val="000000"/>
                <w:sz w:val="24"/>
              </w:rPr>
              <w:t>6</w:t>
            </w:r>
          </w:p>
        </w:tc>
        <w:tc>
          <w:tcPr>
            <w:tcW w:w="7726" w:type="dxa"/>
            <w:tcBorders>
              <w:top w:val="nil"/>
              <w:left w:val="nil"/>
              <w:bottom w:val="single" w:sz="4" w:space="0" w:color="auto"/>
              <w:right w:val="single" w:sz="4" w:space="0" w:color="auto"/>
            </w:tcBorders>
            <w:shd w:val="clear" w:color="auto" w:fill="auto"/>
            <w:noWrap/>
          </w:tcPr>
          <w:p w14:paraId="08F3F0CB" w14:textId="65E6475A" w:rsidR="00F57ABD" w:rsidRDefault="00F57ABD" w:rsidP="00F57ABD">
            <w:pPr>
              <w:widowControl/>
              <w:jc w:val="left"/>
            </w:pPr>
            <w:r w:rsidRPr="0089403A">
              <w:rPr>
                <w:rFonts w:hint="eastAsia"/>
              </w:rPr>
              <w:t>朱雀基金管理有限公司旗下全部基金</w:t>
            </w:r>
            <w:r w:rsidRPr="0089403A">
              <w:rPr>
                <w:rFonts w:hint="eastAsia"/>
              </w:rPr>
              <w:t>2024</w:t>
            </w:r>
            <w:r w:rsidRPr="0089403A">
              <w:rPr>
                <w:rFonts w:hint="eastAsia"/>
              </w:rPr>
              <w:t>年年度报告提示性公告</w:t>
            </w:r>
          </w:p>
        </w:tc>
        <w:tc>
          <w:tcPr>
            <w:tcW w:w="1630" w:type="dxa"/>
            <w:tcBorders>
              <w:top w:val="nil"/>
              <w:left w:val="nil"/>
              <w:bottom w:val="single" w:sz="4" w:space="0" w:color="auto"/>
              <w:right w:val="single" w:sz="4" w:space="0" w:color="auto"/>
            </w:tcBorders>
            <w:shd w:val="clear" w:color="auto" w:fill="auto"/>
            <w:noWrap/>
          </w:tcPr>
          <w:p w14:paraId="11695704" w14:textId="4E4C3CE2" w:rsidR="00F57ABD" w:rsidRDefault="00F57ABD" w:rsidP="00F57ABD">
            <w:pPr>
              <w:widowControl/>
              <w:jc w:val="center"/>
            </w:pPr>
            <w:r w:rsidRPr="00141265">
              <w:t>2025-03-28</w:t>
            </w:r>
          </w:p>
        </w:tc>
      </w:tr>
      <w:tr w:rsidR="00F57ABD" w14:paraId="65B9E3FE"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C9F73A2" w14:textId="72F1926D" w:rsidR="00F57ABD" w:rsidRPr="00F57ABD" w:rsidRDefault="00F57ABD" w:rsidP="00F57ABD">
            <w:pPr>
              <w:widowControl/>
              <w:jc w:val="center"/>
              <w:rPr>
                <w:rFonts w:ascii="宋体" w:hAnsi="宋体"/>
                <w:sz w:val="24"/>
              </w:rPr>
            </w:pPr>
            <w:r w:rsidRPr="00F57ABD">
              <w:rPr>
                <w:rFonts w:ascii="宋体" w:hAnsi="宋体" w:hint="eastAsia"/>
                <w:color w:val="000000"/>
                <w:sz w:val="24"/>
              </w:rPr>
              <w:t>7</w:t>
            </w:r>
          </w:p>
        </w:tc>
        <w:tc>
          <w:tcPr>
            <w:tcW w:w="7726" w:type="dxa"/>
            <w:tcBorders>
              <w:top w:val="nil"/>
              <w:left w:val="nil"/>
              <w:bottom w:val="single" w:sz="4" w:space="0" w:color="auto"/>
              <w:right w:val="single" w:sz="4" w:space="0" w:color="auto"/>
            </w:tcBorders>
            <w:shd w:val="clear" w:color="auto" w:fill="auto"/>
            <w:noWrap/>
          </w:tcPr>
          <w:p w14:paraId="5C23BA5C" w14:textId="6EECE04D" w:rsidR="00F57ABD" w:rsidRDefault="00F57ABD" w:rsidP="00F57ABD">
            <w:pPr>
              <w:widowControl/>
              <w:jc w:val="left"/>
            </w:pPr>
            <w:r w:rsidRPr="0089403A">
              <w:rPr>
                <w:rFonts w:hint="eastAsia"/>
              </w:rPr>
              <w:t>朱雀基金管理有限公司旗下全部基金</w:t>
            </w:r>
            <w:r w:rsidRPr="0089403A">
              <w:rPr>
                <w:rFonts w:hint="eastAsia"/>
              </w:rPr>
              <w:t>2024</w:t>
            </w:r>
            <w:r w:rsidRPr="0089403A">
              <w:rPr>
                <w:rFonts w:hint="eastAsia"/>
              </w:rPr>
              <w:t>年第</w:t>
            </w:r>
            <w:r w:rsidRPr="0089403A">
              <w:rPr>
                <w:rFonts w:hint="eastAsia"/>
              </w:rPr>
              <w:t>4</w:t>
            </w:r>
            <w:r w:rsidRPr="0089403A">
              <w:rPr>
                <w:rFonts w:hint="eastAsia"/>
              </w:rPr>
              <w:t>季度报告提示性公告</w:t>
            </w:r>
          </w:p>
        </w:tc>
        <w:tc>
          <w:tcPr>
            <w:tcW w:w="1630" w:type="dxa"/>
            <w:tcBorders>
              <w:top w:val="nil"/>
              <w:left w:val="nil"/>
              <w:bottom w:val="single" w:sz="4" w:space="0" w:color="auto"/>
              <w:right w:val="single" w:sz="4" w:space="0" w:color="auto"/>
            </w:tcBorders>
            <w:shd w:val="clear" w:color="auto" w:fill="auto"/>
            <w:noWrap/>
          </w:tcPr>
          <w:p w14:paraId="61B13137" w14:textId="1065E190" w:rsidR="00F57ABD" w:rsidRDefault="00F57ABD" w:rsidP="00F57ABD">
            <w:pPr>
              <w:widowControl/>
              <w:jc w:val="center"/>
            </w:pPr>
            <w:r w:rsidRPr="00141265">
              <w:t>2025-01-22</w:t>
            </w:r>
          </w:p>
        </w:tc>
      </w:tr>
      <w:tr w:rsidR="00F57ABD" w14:paraId="627F5B1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76C7F63" w14:textId="388B4D38" w:rsidR="00F57ABD" w:rsidRPr="00F57ABD" w:rsidRDefault="00F57ABD" w:rsidP="00F57ABD">
            <w:pPr>
              <w:widowControl/>
              <w:jc w:val="center"/>
              <w:rPr>
                <w:rFonts w:ascii="宋体" w:hAnsi="宋体"/>
                <w:sz w:val="24"/>
              </w:rPr>
            </w:pPr>
            <w:r w:rsidRPr="00F57ABD">
              <w:rPr>
                <w:rFonts w:ascii="宋体" w:hAnsi="宋体" w:hint="eastAsia"/>
                <w:color w:val="000000"/>
                <w:sz w:val="24"/>
              </w:rPr>
              <w:t>8</w:t>
            </w:r>
          </w:p>
        </w:tc>
        <w:tc>
          <w:tcPr>
            <w:tcW w:w="7726" w:type="dxa"/>
            <w:tcBorders>
              <w:top w:val="nil"/>
              <w:left w:val="nil"/>
              <w:bottom w:val="single" w:sz="4" w:space="0" w:color="auto"/>
              <w:right w:val="single" w:sz="4" w:space="0" w:color="auto"/>
            </w:tcBorders>
            <w:shd w:val="clear" w:color="auto" w:fill="auto"/>
            <w:noWrap/>
          </w:tcPr>
          <w:p w14:paraId="085FB2F7" w14:textId="02AE11C9" w:rsidR="00F57ABD" w:rsidRDefault="00F57ABD" w:rsidP="00F57ABD">
            <w:pPr>
              <w:widowControl/>
              <w:jc w:val="left"/>
            </w:pPr>
            <w:r w:rsidRPr="0089403A">
              <w:rPr>
                <w:rFonts w:hint="eastAsia"/>
              </w:rPr>
              <w:t>朱雀基金管理有限公司关于旗下基金增加蚂蚁（杭州）基金销售有限公司为销售机构及参加其费率优惠活动的公告</w:t>
            </w:r>
          </w:p>
        </w:tc>
        <w:tc>
          <w:tcPr>
            <w:tcW w:w="1630" w:type="dxa"/>
            <w:tcBorders>
              <w:top w:val="nil"/>
              <w:left w:val="nil"/>
              <w:bottom w:val="single" w:sz="4" w:space="0" w:color="auto"/>
              <w:right w:val="single" w:sz="4" w:space="0" w:color="auto"/>
            </w:tcBorders>
            <w:shd w:val="clear" w:color="auto" w:fill="auto"/>
            <w:noWrap/>
          </w:tcPr>
          <w:p w14:paraId="5A615178" w14:textId="6AECEF29" w:rsidR="00F57ABD" w:rsidRDefault="00F57ABD" w:rsidP="00F57ABD">
            <w:pPr>
              <w:widowControl/>
              <w:jc w:val="center"/>
            </w:pPr>
            <w:r w:rsidRPr="00141265">
              <w:t>2024-12-31</w:t>
            </w:r>
          </w:p>
        </w:tc>
      </w:tr>
      <w:tr w:rsidR="00F57ABD" w14:paraId="3008FCB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AD62373" w14:textId="531E2D4B" w:rsidR="00F57ABD" w:rsidRPr="00F57ABD" w:rsidRDefault="00F57ABD" w:rsidP="00F57ABD">
            <w:pPr>
              <w:widowControl/>
              <w:jc w:val="center"/>
              <w:rPr>
                <w:rFonts w:ascii="宋体" w:hAnsi="宋体"/>
                <w:sz w:val="24"/>
              </w:rPr>
            </w:pPr>
            <w:r w:rsidRPr="00F57ABD">
              <w:rPr>
                <w:rFonts w:ascii="宋体" w:hAnsi="宋体" w:hint="eastAsia"/>
                <w:color w:val="000000"/>
                <w:sz w:val="24"/>
              </w:rPr>
              <w:t>9</w:t>
            </w:r>
          </w:p>
        </w:tc>
        <w:tc>
          <w:tcPr>
            <w:tcW w:w="7726" w:type="dxa"/>
            <w:tcBorders>
              <w:top w:val="nil"/>
              <w:left w:val="nil"/>
              <w:bottom w:val="single" w:sz="4" w:space="0" w:color="auto"/>
              <w:right w:val="single" w:sz="4" w:space="0" w:color="auto"/>
            </w:tcBorders>
            <w:shd w:val="clear" w:color="auto" w:fill="auto"/>
            <w:noWrap/>
          </w:tcPr>
          <w:p w14:paraId="141ABF0F" w14:textId="7554D580" w:rsidR="00F57ABD" w:rsidRDefault="00F57ABD" w:rsidP="00F57ABD">
            <w:pPr>
              <w:widowControl/>
              <w:jc w:val="left"/>
            </w:pPr>
            <w:r w:rsidRPr="0089403A">
              <w:rPr>
                <w:rFonts w:hint="eastAsia"/>
              </w:rPr>
              <w:t>朱雀基金管理有限公司关于旗下基金在直销渠道开展费率优惠活动的公告</w:t>
            </w:r>
          </w:p>
        </w:tc>
        <w:tc>
          <w:tcPr>
            <w:tcW w:w="1630" w:type="dxa"/>
            <w:tcBorders>
              <w:top w:val="nil"/>
              <w:left w:val="nil"/>
              <w:bottom w:val="single" w:sz="4" w:space="0" w:color="auto"/>
              <w:right w:val="single" w:sz="4" w:space="0" w:color="auto"/>
            </w:tcBorders>
            <w:shd w:val="clear" w:color="auto" w:fill="auto"/>
            <w:noWrap/>
          </w:tcPr>
          <w:p w14:paraId="6120527A" w14:textId="528F7D0B" w:rsidR="00F57ABD" w:rsidRDefault="00F57ABD" w:rsidP="00F57ABD">
            <w:pPr>
              <w:widowControl/>
              <w:jc w:val="center"/>
            </w:pPr>
            <w:r w:rsidRPr="00141265">
              <w:t>2024-12-28</w:t>
            </w:r>
          </w:p>
        </w:tc>
      </w:tr>
      <w:tr w:rsidR="00F57ABD" w14:paraId="191B87B9"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3D3F5FC" w14:textId="47BC68D1" w:rsidR="00F57ABD" w:rsidRPr="00F57ABD" w:rsidRDefault="00F57ABD" w:rsidP="00F57ABD">
            <w:pPr>
              <w:widowControl/>
              <w:jc w:val="center"/>
              <w:rPr>
                <w:rFonts w:ascii="宋体" w:hAnsi="宋体"/>
                <w:sz w:val="24"/>
              </w:rPr>
            </w:pPr>
            <w:r w:rsidRPr="00F57ABD">
              <w:rPr>
                <w:rFonts w:ascii="宋体" w:hAnsi="宋体" w:hint="eastAsia"/>
                <w:color w:val="000000"/>
                <w:sz w:val="24"/>
              </w:rPr>
              <w:t>10</w:t>
            </w:r>
          </w:p>
        </w:tc>
        <w:tc>
          <w:tcPr>
            <w:tcW w:w="7726" w:type="dxa"/>
            <w:tcBorders>
              <w:top w:val="nil"/>
              <w:left w:val="nil"/>
              <w:bottom w:val="single" w:sz="4" w:space="0" w:color="auto"/>
              <w:right w:val="single" w:sz="4" w:space="0" w:color="auto"/>
            </w:tcBorders>
            <w:shd w:val="clear" w:color="auto" w:fill="auto"/>
            <w:noWrap/>
          </w:tcPr>
          <w:p w14:paraId="5590A7E7" w14:textId="1E79062C" w:rsidR="00F57ABD" w:rsidRDefault="00F57ABD" w:rsidP="00F57ABD">
            <w:pPr>
              <w:widowControl/>
              <w:jc w:val="left"/>
            </w:pPr>
            <w:r w:rsidRPr="0089403A">
              <w:rPr>
                <w:rFonts w:hint="eastAsia"/>
              </w:rPr>
              <w:t>朱雀基金管理有限公司关于旗下基金参加部分机构费率优惠活动的公告</w:t>
            </w:r>
          </w:p>
        </w:tc>
        <w:tc>
          <w:tcPr>
            <w:tcW w:w="1630" w:type="dxa"/>
            <w:tcBorders>
              <w:top w:val="nil"/>
              <w:left w:val="nil"/>
              <w:bottom w:val="single" w:sz="4" w:space="0" w:color="auto"/>
              <w:right w:val="single" w:sz="4" w:space="0" w:color="auto"/>
            </w:tcBorders>
            <w:shd w:val="clear" w:color="auto" w:fill="auto"/>
            <w:noWrap/>
          </w:tcPr>
          <w:p w14:paraId="29861D37" w14:textId="23EE7B69" w:rsidR="00F57ABD" w:rsidRDefault="00F57ABD" w:rsidP="00F57ABD">
            <w:pPr>
              <w:widowControl/>
              <w:jc w:val="center"/>
            </w:pPr>
            <w:r w:rsidRPr="00141265">
              <w:t>2024-12-28</w:t>
            </w:r>
          </w:p>
        </w:tc>
      </w:tr>
      <w:tr w:rsidR="00F57ABD" w14:paraId="445D438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0327549" w14:textId="220DFA36" w:rsidR="00F57ABD" w:rsidRPr="00F57ABD" w:rsidRDefault="00F57ABD" w:rsidP="00F57ABD">
            <w:pPr>
              <w:widowControl/>
              <w:jc w:val="center"/>
              <w:rPr>
                <w:rFonts w:ascii="宋体" w:hAnsi="宋体"/>
                <w:sz w:val="24"/>
              </w:rPr>
            </w:pPr>
            <w:r w:rsidRPr="00F57ABD">
              <w:rPr>
                <w:rFonts w:ascii="宋体" w:hAnsi="宋体" w:hint="eastAsia"/>
                <w:color w:val="000000"/>
                <w:sz w:val="24"/>
              </w:rPr>
              <w:t>11</w:t>
            </w:r>
          </w:p>
        </w:tc>
        <w:tc>
          <w:tcPr>
            <w:tcW w:w="7726" w:type="dxa"/>
            <w:tcBorders>
              <w:top w:val="nil"/>
              <w:left w:val="nil"/>
              <w:bottom w:val="single" w:sz="4" w:space="0" w:color="auto"/>
              <w:right w:val="single" w:sz="4" w:space="0" w:color="auto"/>
            </w:tcBorders>
            <w:shd w:val="clear" w:color="auto" w:fill="auto"/>
            <w:noWrap/>
          </w:tcPr>
          <w:p w14:paraId="3ACA4A63" w14:textId="6A052864" w:rsidR="00F57ABD" w:rsidRDefault="00F57ABD" w:rsidP="00F57ABD">
            <w:pPr>
              <w:widowControl/>
              <w:jc w:val="left"/>
            </w:pPr>
            <w:r w:rsidRPr="0089403A">
              <w:rPr>
                <w:rFonts w:hint="eastAsia"/>
              </w:rPr>
              <w:t>朱雀基金管理有限公司关于旗下部分基金</w:t>
            </w:r>
            <w:r w:rsidRPr="0089403A">
              <w:rPr>
                <w:rFonts w:hint="eastAsia"/>
              </w:rPr>
              <w:t>2024</w:t>
            </w:r>
            <w:r w:rsidRPr="0089403A">
              <w:rPr>
                <w:rFonts w:hint="eastAsia"/>
              </w:rPr>
              <w:t>年底及</w:t>
            </w:r>
            <w:r w:rsidRPr="0089403A">
              <w:rPr>
                <w:rFonts w:hint="eastAsia"/>
              </w:rPr>
              <w:t>2025</w:t>
            </w:r>
            <w:r w:rsidRPr="0089403A">
              <w:rPr>
                <w:rFonts w:hint="eastAsia"/>
              </w:rPr>
              <w:t>年非港股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7D947BC6" w14:textId="62EB85A7" w:rsidR="00F57ABD" w:rsidRDefault="00F57ABD" w:rsidP="00F57ABD">
            <w:pPr>
              <w:widowControl/>
              <w:jc w:val="center"/>
            </w:pPr>
            <w:r w:rsidRPr="00141265">
              <w:t>2024-12-26</w:t>
            </w:r>
          </w:p>
        </w:tc>
      </w:tr>
      <w:tr w:rsidR="00F57ABD" w14:paraId="7D8D623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8F481C3" w14:textId="0D44ACC2" w:rsidR="00F57ABD" w:rsidRPr="00F57ABD" w:rsidRDefault="00F57ABD" w:rsidP="00F57ABD">
            <w:pPr>
              <w:widowControl/>
              <w:jc w:val="center"/>
              <w:rPr>
                <w:rFonts w:ascii="宋体" w:hAnsi="宋体"/>
                <w:sz w:val="24"/>
              </w:rPr>
            </w:pPr>
            <w:r w:rsidRPr="00F57ABD">
              <w:rPr>
                <w:rFonts w:ascii="宋体" w:hAnsi="宋体" w:hint="eastAsia"/>
                <w:color w:val="000000"/>
                <w:sz w:val="24"/>
              </w:rPr>
              <w:t>12</w:t>
            </w:r>
          </w:p>
        </w:tc>
        <w:tc>
          <w:tcPr>
            <w:tcW w:w="7726" w:type="dxa"/>
            <w:tcBorders>
              <w:top w:val="nil"/>
              <w:left w:val="nil"/>
              <w:bottom w:val="single" w:sz="4" w:space="0" w:color="auto"/>
              <w:right w:val="single" w:sz="4" w:space="0" w:color="auto"/>
            </w:tcBorders>
            <w:shd w:val="clear" w:color="auto" w:fill="auto"/>
            <w:noWrap/>
          </w:tcPr>
          <w:p w14:paraId="6722E902" w14:textId="61303803" w:rsidR="00F57ABD" w:rsidRDefault="00F57ABD" w:rsidP="00F57ABD">
            <w:pPr>
              <w:widowControl/>
              <w:jc w:val="left"/>
            </w:pPr>
            <w:r w:rsidRPr="0089403A">
              <w:rPr>
                <w:rFonts w:hint="eastAsia"/>
              </w:rPr>
              <w:t>朱雀基金管理有限公司关于旗下基金改聘会计师事务所的公告</w:t>
            </w:r>
          </w:p>
        </w:tc>
        <w:tc>
          <w:tcPr>
            <w:tcW w:w="1630" w:type="dxa"/>
            <w:tcBorders>
              <w:top w:val="nil"/>
              <w:left w:val="nil"/>
              <w:bottom w:val="single" w:sz="4" w:space="0" w:color="auto"/>
              <w:right w:val="single" w:sz="4" w:space="0" w:color="auto"/>
            </w:tcBorders>
            <w:shd w:val="clear" w:color="auto" w:fill="auto"/>
            <w:noWrap/>
          </w:tcPr>
          <w:p w14:paraId="4151E365" w14:textId="11E1C54D" w:rsidR="00F57ABD" w:rsidRDefault="00F57ABD" w:rsidP="00F57ABD">
            <w:pPr>
              <w:widowControl/>
              <w:jc w:val="center"/>
            </w:pPr>
            <w:r w:rsidRPr="00141265">
              <w:t>2024-11-28</w:t>
            </w:r>
          </w:p>
        </w:tc>
      </w:tr>
      <w:tr w:rsidR="00F57ABD" w14:paraId="726F6C61"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3FDF7F4" w14:textId="1EA4385D" w:rsidR="00F57ABD" w:rsidRPr="00F57ABD" w:rsidRDefault="00F57ABD" w:rsidP="00F57ABD">
            <w:pPr>
              <w:widowControl/>
              <w:jc w:val="center"/>
              <w:rPr>
                <w:rFonts w:ascii="宋体" w:hAnsi="宋体"/>
                <w:sz w:val="24"/>
              </w:rPr>
            </w:pPr>
            <w:r w:rsidRPr="00F57ABD">
              <w:rPr>
                <w:rFonts w:ascii="宋体" w:hAnsi="宋体" w:hint="eastAsia"/>
                <w:color w:val="000000"/>
                <w:sz w:val="24"/>
              </w:rPr>
              <w:t>13</w:t>
            </w:r>
          </w:p>
        </w:tc>
        <w:tc>
          <w:tcPr>
            <w:tcW w:w="7726" w:type="dxa"/>
            <w:tcBorders>
              <w:top w:val="nil"/>
              <w:left w:val="nil"/>
              <w:bottom w:val="single" w:sz="4" w:space="0" w:color="auto"/>
              <w:right w:val="single" w:sz="4" w:space="0" w:color="auto"/>
            </w:tcBorders>
            <w:shd w:val="clear" w:color="auto" w:fill="auto"/>
            <w:noWrap/>
          </w:tcPr>
          <w:p w14:paraId="311E1DFD" w14:textId="42DF3EB9" w:rsidR="00F57ABD" w:rsidRDefault="00F57ABD" w:rsidP="00F57ABD">
            <w:pPr>
              <w:widowControl/>
              <w:jc w:val="left"/>
            </w:pPr>
            <w:r w:rsidRPr="0089403A">
              <w:rPr>
                <w:rFonts w:hint="eastAsia"/>
              </w:rPr>
              <w:t>朱雀基金管理有限公司基金行业高级管理人员变更公告</w:t>
            </w:r>
          </w:p>
        </w:tc>
        <w:tc>
          <w:tcPr>
            <w:tcW w:w="1630" w:type="dxa"/>
            <w:tcBorders>
              <w:top w:val="nil"/>
              <w:left w:val="nil"/>
              <w:bottom w:val="single" w:sz="4" w:space="0" w:color="auto"/>
              <w:right w:val="single" w:sz="4" w:space="0" w:color="auto"/>
            </w:tcBorders>
            <w:shd w:val="clear" w:color="auto" w:fill="auto"/>
            <w:noWrap/>
          </w:tcPr>
          <w:p w14:paraId="6B713E49" w14:textId="0976051E" w:rsidR="00F57ABD" w:rsidRDefault="00F57ABD" w:rsidP="00F57ABD">
            <w:pPr>
              <w:widowControl/>
              <w:jc w:val="center"/>
            </w:pPr>
            <w:r w:rsidRPr="00141265">
              <w:t>2024-11-26</w:t>
            </w:r>
          </w:p>
        </w:tc>
      </w:tr>
      <w:tr w:rsidR="00F57ABD" w14:paraId="50974BE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79DBACD" w14:textId="1D130FDE" w:rsidR="00F57ABD" w:rsidRPr="00F57ABD" w:rsidRDefault="00F57ABD" w:rsidP="00F57ABD">
            <w:pPr>
              <w:widowControl/>
              <w:jc w:val="center"/>
              <w:rPr>
                <w:rFonts w:ascii="宋体" w:hAnsi="宋体"/>
                <w:sz w:val="24"/>
              </w:rPr>
            </w:pPr>
            <w:r w:rsidRPr="00F57ABD">
              <w:rPr>
                <w:rFonts w:ascii="宋体" w:hAnsi="宋体" w:hint="eastAsia"/>
                <w:color w:val="000000"/>
                <w:sz w:val="24"/>
              </w:rPr>
              <w:t>14</w:t>
            </w:r>
          </w:p>
        </w:tc>
        <w:tc>
          <w:tcPr>
            <w:tcW w:w="7726" w:type="dxa"/>
            <w:tcBorders>
              <w:top w:val="nil"/>
              <w:left w:val="nil"/>
              <w:bottom w:val="single" w:sz="4" w:space="0" w:color="auto"/>
              <w:right w:val="single" w:sz="4" w:space="0" w:color="auto"/>
            </w:tcBorders>
            <w:shd w:val="clear" w:color="auto" w:fill="auto"/>
            <w:noWrap/>
          </w:tcPr>
          <w:p w14:paraId="3914242A" w14:textId="4AD60C61" w:rsidR="00F57ABD" w:rsidRDefault="00F57ABD" w:rsidP="00F57ABD">
            <w:pPr>
              <w:widowControl/>
              <w:jc w:val="left"/>
            </w:pPr>
            <w:r w:rsidRPr="0089403A">
              <w:rPr>
                <w:rFonts w:hint="eastAsia"/>
              </w:rPr>
              <w:t>朱雀基金管理有限公司基金行业高级管理人员变更公告</w:t>
            </w:r>
          </w:p>
        </w:tc>
        <w:tc>
          <w:tcPr>
            <w:tcW w:w="1630" w:type="dxa"/>
            <w:tcBorders>
              <w:top w:val="nil"/>
              <w:left w:val="nil"/>
              <w:bottom w:val="single" w:sz="4" w:space="0" w:color="auto"/>
              <w:right w:val="single" w:sz="4" w:space="0" w:color="auto"/>
            </w:tcBorders>
            <w:shd w:val="clear" w:color="auto" w:fill="auto"/>
            <w:noWrap/>
          </w:tcPr>
          <w:p w14:paraId="54BC22FE" w14:textId="10A5C2E7" w:rsidR="00F57ABD" w:rsidRDefault="00F57ABD" w:rsidP="00F57ABD">
            <w:pPr>
              <w:widowControl/>
              <w:jc w:val="center"/>
            </w:pPr>
            <w:r w:rsidRPr="00141265">
              <w:t>2024-11-02</w:t>
            </w:r>
          </w:p>
        </w:tc>
      </w:tr>
      <w:tr w:rsidR="00F57ABD" w14:paraId="43B213C0"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747D0C2" w14:textId="7F548772" w:rsidR="00F57ABD" w:rsidRPr="00F57ABD" w:rsidRDefault="00F57ABD" w:rsidP="00F57ABD">
            <w:pPr>
              <w:widowControl/>
              <w:jc w:val="center"/>
              <w:rPr>
                <w:rFonts w:ascii="宋体" w:hAnsi="宋体"/>
                <w:sz w:val="24"/>
              </w:rPr>
            </w:pPr>
            <w:r w:rsidRPr="00F57ABD">
              <w:rPr>
                <w:rFonts w:ascii="宋体" w:hAnsi="宋体" w:hint="eastAsia"/>
                <w:color w:val="000000"/>
                <w:sz w:val="24"/>
              </w:rPr>
              <w:t>15</w:t>
            </w:r>
          </w:p>
        </w:tc>
        <w:tc>
          <w:tcPr>
            <w:tcW w:w="7726" w:type="dxa"/>
            <w:tcBorders>
              <w:top w:val="nil"/>
              <w:left w:val="nil"/>
              <w:bottom w:val="single" w:sz="4" w:space="0" w:color="auto"/>
              <w:right w:val="single" w:sz="4" w:space="0" w:color="auto"/>
            </w:tcBorders>
            <w:shd w:val="clear" w:color="auto" w:fill="auto"/>
            <w:noWrap/>
          </w:tcPr>
          <w:p w14:paraId="79207545" w14:textId="31FC7001" w:rsidR="00F57ABD" w:rsidRDefault="00F57ABD" w:rsidP="00F57ABD">
            <w:pPr>
              <w:widowControl/>
              <w:jc w:val="left"/>
            </w:pPr>
            <w:r w:rsidRPr="0089403A">
              <w:rPr>
                <w:rFonts w:hint="eastAsia"/>
              </w:rPr>
              <w:t>朱雀基金管理有限公司关于旗下部分基金因非港股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6D3FCD40" w14:textId="3C619155" w:rsidR="00F57ABD" w:rsidRDefault="00F57ABD" w:rsidP="00F57ABD">
            <w:pPr>
              <w:widowControl/>
              <w:jc w:val="center"/>
            </w:pPr>
            <w:r w:rsidRPr="00141265">
              <w:t>2024-09-06</w:t>
            </w:r>
          </w:p>
        </w:tc>
      </w:tr>
      <w:tr w:rsidR="00F57ABD" w14:paraId="58C3BDEA"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1AC7E33" w14:textId="68DD0B69" w:rsidR="00F57ABD" w:rsidRPr="00F57ABD" w:rsidRDefault="00F57ABD" w:rsidP="00F57ABD">
            <w:pPr>
              <w:widowControl/>
              <w:jc w:val="center"/>
              <w:rPr>
                <w:rFonts w:ascii="宋体" w:hAnsi="宋体"/>
                <w:sz w:val="24"/>
              </w:rPr>
            </w:pPr>
            <w:r w:rsidRPr="00F57ABD">
              <w:rPr>
                <w:rFonts w:ascii="宋体" w:hAnsi="宋体" w:hint="eastAsia"/>
                <w:color w:val="000000"/>
                <w:sz w:val="24"/>
              </w:rPr>
              <w:t>16</w:t>
            </w:r>
          </w:p>
        </w:tc>
        <w:tc>
          <w:tcPr>
            <w:tcW w:w="7726" w:type="dxa"/>
            <w:tcBorders>
              <w:top w:val="nil"/>
              <w:left w:val="nil"/>
              <w:bottom w:val="single" w:sz="4" w:space="0" w:color="auto"/>
              <w:right w:val="single" w:sz="4" w:space="0" w:color="auto"/>
            </w:tcBorders>
            <w:shd w:val="clear" w:color="auto" w:fill="auto"/>
            <w:noWrap/>
          </w:tcPr>
          <w:p w14:paraId="71722F02" w14:textId="5F17DEBF"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金经理变更公告</w:t>
            </w:r>
          </w:p>
        </w:tc>
        <w:tc>
          <w:tcPr>
            <w:tcW w:w="1630" w:type="dxa"/>
            <w:tcBorders>
              <w:top w:val="nil"/>
              <w:left w:val="nil"/>
              <w:bottom w:val="single" w:sz="4" w:space="0" w:color="auto"/>
              <w:right w:val="single" w:sz="4" w:space="0" w:color="auto"/>
            </w:tcBorders>
            <w:shd w:val="clear" w:color="auto" w:fill="auto"/>
            <w:noWrap/>
          </w:tcPr>
          <w:p w14:paraId="448260AE" w14:textId="31C93914" w:rsidR="00F57ABD" w:rsidRDefault="00F57ABD" w:rsidP="00F57ABD">
            <w:pPr>
              <w:widowControl/>
              <w:jc w:val="center"/>
            </w:pPr>
            <w:r w:rsidRPr="00141265">
              <w:t>2024-08-06</w:t>
            </w:r>
          </w:p>
        </w:tc>
      </w:tr>
      <w:tr w:rsidR="00F57ABD" w14:paraId="04E500C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8599784" w14:textId="030BA3AC"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17</w:t>
            </w:r>
          </w:p>
        </w:tc>
        <w:tc>
          <w:tcPr>
            <w:tcW w:w="7726" w:type="dxa"/>
            <w:tcBorders>
              <w:top w:val="nil"/>
              <w:left w:val="nil"/>
              <w:bottom w:val="single" w:sz="4" w:space="0" w:color="auto"/>
              <w:right w:val="single" w:sz="4" w:space="0" w:color="auto"/>
            </w:tcBorders>
            <w:shd w:val="clear" w:color="auto" w:fill="auto"/>
            <w:noWrap/>
          </w:tcPr>
          <w:p w14:paraId="5016972B" w14:textId="1419616E"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朱雀基金管理有限公司关于旗下基金增加京东肯特瑞基金销售有限公司为销售机构及参加其费率优惠活动的公告</w:t>
            </w:r>
          </w:p>
        </w:tc>
        <w:tc>
          <w:tcPr>
            <w:tcW w:w="1630" w:type="dxa"/>
            <w:tcBorders>
              <w:top w:val="nil"/>
              <w:left w:val="nil"/>
              <w:bottom w:val="single" w:sz="4" w:space="0" w:color="auto"/>
              <w:right w:val="single" w:sz="4" w:space="0" w:color="auto"/>
            </w:tcBorders>
            <w:shd w:val="clear" w:color="auto" w:fill="auto"/>
            <w:noWrap/>
          </w:tcPr>
          <w:p w14:paraId="0DB21BE6" w14:textId="2CBB804B" w:rsidR="00F57ABD" w:rsidRDefault="00F57ABD" w:rsidP="00F57ABD">
            <w:pPr>
              <w:widowControl/>
              <w:jc w:val="center"/>
              <w:rPr>
                <w:rFonts w:ascii="宋体" w:hAnsi="宋体" w:cs="宋体"/>
                <w:color w:val="000000"/>
                <w:kern w:val="0"/>
                <w:sz w:val="24"/>
              </w:rPr>
            </w:pPr>
            <w:r w:rsidRPr="00141265">
              <w:t>2024-08-01</w:t>
            </w:r>
          </w:p>
        </w:tc>
      </w:tr>
      <w:tr w:rsidR="00F57ABD" w14:paraId="19695E71"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05B8AF0" w14:textId="7092BFD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18</w:t>
            </w:r>
          </w:p>
        </w:tc>
        <w:tc>
          <w:tcPr>
            <w:tcW w:w="7726" w:type="dxa"/>
            <w:tcBorders>
              <w:top w:val="nil"/>
              <w:left w:val="nil"/>
              <w:bottom w:val="single" w:sz="4" w:space="0" w:color="auto"/>
              <w:right w:val="single" w:sz="4" w:space="0" w:color="auto"/>
            </w:tcBorders>
            <w:shd w:val="clear" w:color="auto" w:fill="auto"/>
            <w:noWrap/>
          </w:tcPr>
          <w:p w14:paraId="32EDFF51" w14:textId="127EFDD7"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朱雀基金管理有限公司关于旗下部分基金参与招商银行费率优惠活动的公告</w:t>
            </w:r>
          </w:p>
        </w:tc>
        <w:tc>
          <w:tcPr>
            <w:tcW w:w="1630" w:type="dxa"/>
            <w:tcBorders>
              <w:top w:val="nil"/>
              <w:left w:val="nil"/>
              <w:bottom w:val="single" w:sz="4" w:space="0" w:color="auto"/>
              <w:right w:val="single" w:sz="4" w:space="0" w:color="auto"/>
            </w:tcBorders>
            <w:shd w:val="clear" w:color="auto" w:fill="auto"/>
            <w:noWrap/>
          </w:tcPr>
          <w:p w14:paraId="6F689001" w14:textId="2CDCDF86" w:rsidR="00F57ABD" w:rsidRDefault="00F57ABD" w:rsidP="00F57ABD">
            <w:pPr>
              <w:widowControl/>
              <w:jc w:val="center"/>
              <w:rPr>
                <w:rFonts w:ascii="宋体" w:hAnsi="宋体" w:cs="宋体"/>
                <w:color w:val="000000"/>
                <w:kern w:val="0"/>
                <w:sz w:val="24"/>
              </w:rPr>
            </w:pPr>
            <w:r w:rsidRPr="00141265">
              <w:t>2024-06-21</w:t>
            </w:r>
          </w:p>
        </w:tc>
      </w:tr>
      <w:tr w:rsidR="00F57ABD" w14:paraId="2DBFDD7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A58D410" w14:textId="48D7A54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19</w:t>
            </w:r>
          </w:p>
        </w:tc>
        <w:tc>
          <w:tcPr>
            <w:tcW w:w="7726" w:type="dxa"/>
            <w:tcBorders>
              <w:top w:val="nil"/>
              <w:left w:val="nil"/>
              <w:bottom w:val="single" w:sz="4" w:space="0" w:color="auto"/>
              <w:right w:val="single" w:sz="4" w:space="0" w:color="auto"/>
            </w:tcBorders>
            <w:shd w:val="clear" w:color="auto" w:fill="auto"/>
            <w:noWrap/>
          </w:tcPr>
          <w:p w14:paraId="3CCC60CD" w14:textId="007CDAE7"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07AA5D09" w14:textId="50E6881D" w:rsidR="00F57ABD" w:rsidRDefault="00F57ABD" w:rsidP="00F57ABD">
            <w:pPr>
              <w:widowControl/>
              <w:jc w:val="center"/>
              <w:rPr>
                <w:rFonts w:ascii="宋体" w:hAnsi="宋体" w:cs="宋体"/>
                <w:color w:val="000000"/>
                <w:kern w:val="0"/>
                <w:sz w:val="24"/>
              </w:rPr>
            </w:pPr>
            <w:r w:rsidRPr="00141265">
              <w:t>2023-12-30</w:t>
            </w:r>
          </w:p>
        </w:tc>
      </w:tr>
      <w:tr w:rsidR="00F57ABD" w14:paraId="53084FB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49FE4BD" w14:textId="13ED8345"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20</w:t>
            </w:r>
          </w:p>
        </w:tc>
        <w:tc>
          <w:tcPr>
            <w:tcW w:w="7726" w:type="dxa"/>
            <w:tcBorders>
              <w:top w:val="nil"/>
              <w:left w:val="nil"/>
              <w:bottom w:val="single" w:sz="4" w:space="0" w:color="auto"/>
              <w:right w:val="single" w:sz="4" w:space="0" w:color="auto"/>
            </w:tcBorders>
            <w:shd w:val="clear" w:color="auto" w:fill="auto"/>
            <w:noWrap/>
          </w:tcPr>
          <w:p w14:paraId="7516FD93" w14:textId="2E8262C0"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w:t>
            </w:r>
            <w:r w:rsidRPr="0089403A">
              <w:rPr>
                <w:rFonts w:hint="eastAsia"/>
              </w:rPr>
              <w:t>2024</w:t>
            </w:r>
            <w:r w:rsidRPr="0089403A">
              <w:rPr>
                <w:rFonts w:hint="eastAsia"/>
              </w:rPr>
              <w:t>年非港股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0E0AE538" w14:textId="5B133D8F" w:rsidR="00F57ABD" w:rsidRDefault="00F57ABD" w:rsidP="00F57ABD">
            <w:pPr>
              <w:widowControl/>
              <w:jc w:val="center"/>
              <w:rPr>
                <w:rFonts w:ascii="宋体" w:hAnsi="宋体" w:cs="宋体"/>
                <w:color w:val="000000"/>
                <w:kern w:val="0"/>
                <w:sz w:val="24"/>
              </w:rPr>
            </w:pPr>
            <w:r w:rsidRPr="00141265">
              <w:t>2023-12-29</w:t>
            </w:r>
          </w:p>
        </w:tc>
      </w:tr>
      <w:tr w:rsidR="00F57ABD" w14:paraId="5471B19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0E6E611" w14:textId="19D1B10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21</w:t>
            </w:r>
          </w:p>
        </w:tc>
        <w:tc>
          <w:tcPr>
            <w:tcW w:w="7726" w:type="dxa"/>
            <w:tcBorders>
              <w:top w:val="nil"/>
              <w:left w:val="nil"/>
              <w:bottom w:val="single" w:sz="4" w:space="0" w:color="auto"/>
              <w:right w:val="single" w:sz="4" w:space="0" w:color="auto"/>
            </w:tcBorders>
            <w:shd w:val="clear" w:color="auto" w:fill="auto"/>
            <w:noWrap/>
          </w:tcPr>
          <w:p w14:paraId="3514D1B3" w14:textId="3CDEAA88"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朱雀基金管理有限公司关于旗下基金在直销渠道开展费率优惠活动的公告</w:t>
            </w:r>
          </w:p>
        </w:tc>
        <w:tc>
          <w:tcPr>
            <w:tcW w:w="1630" w:type="dxa"/>
            <w:tcBorders>
              <w:top w:val="nil"/>
              <w:left w:val="nil"/>
              <w:bottom w:val="single" w:sz="4" w:space="0" w:color="auto"/>
              <w:right w:val="single" w:sz="4" w:space="0" w:color="auto"/>
            </w:tcBorders>
            <w:shd w:val="clear" w:color="auto" w:fill="auto"/>
            <w:noWrap/>
          </w:tcPr>
          <w:p w14:paraId="7ABD8A5B" w14:textId="454103D7" w:rsidR="00F57ABD" w:rsidRDefault="00F57ABD" w:rsidP="00F57ABD">
            <w:pPr>
              <w:widowControl/>
              <w:jc w:val="center"/>
              <w:rPr>
                <w:rFonts w:ascii="宋体" w:hAnsi="宋体" w:cs="宋体"/>
                <w:color w:val="000000"/>
                <w:kern w:val="0"/>
                <w:sz w:val="24"/>
              </w:rPr>
            </w:pPr>
            <w:r w:rsidRPr="00141265">
              <w:t>2023-12-27</w:t>
            </w:r>
          </w:p>
        </w:tc>
      </w:tr>
      <w:tr w:rsidR="00F57ABD" w14:paraId="6279F15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8B6DF13" w14:textId="1C822866"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22</w:t>
            </w:r>
          </w:p>
        </w:tc>
        <w:tc>
          <w:tcPr>
            <w:tcW w:w="7726" w:type="dxa"/>
            <w:tcBorders>
              <w:top w:val="nil"/>
              <w:left w:val="nil"/>
              <w:bottom w:val="single" w:sz="4" w:space="0" w:color="auto"/>
              <w:right w:val="single" w:sz="4" w:space="0" w:color="auto"/>
            </w:tcBorders>
            <w:shd w:val="clear" w:color="auto" w:fill="auto"/>
            <w:noWrap/>
          </w:tcPr>
          <w:p w14:paraId="0A98A0FD" w14:textId="46F1709A"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朱雀基金管理有限公司关于旗下基金参加部分机构费率优惠活动的公告</w:t>
            </w:r>
          </w:p>
        </w:tc>
        <w:tc>
          <w:tcPr>
            <w:tcW w:w="1630" w:type="dxa"/>
            <w:tcBorders>
              <w:top w:val="nil"/>
              <w:left w:val="nil"/>
              <w:bottom w:val="single" w:sz="4" w:space="0" w:color="auto"/>
              <w:right w:val="single" w:sz="4" w:space="0" w:color="auto"/>
            </w:tcBorders>
            <w:shd w:val="clear" w:color="auto" w:fill="auto"/>
            <w:noWrap/>
          </w:tcPr>
          <w:p w14:paraId="1C64CF85" w14:textId="3779AC19" w:rsidR="00F57ABD" w:rsidRDefault="00F57ABD" w:rsidP="00F57ABD">
            <w:pPr>
              <w:widowControl/>
              <w:jc w:val="center"/>
              <w:rPr>
                <w:rFonts w:ascii="宋体" w:hAnsi="宋体" w:cs="宋体"/>
                <w:color w:val="000000"/>
                <w:kern w:val="0"/>
                <w:sz w:val="24"/>
              </w:rPr>
            </w:pPr>
            <w:r w:rsidRPr="00141265">
              <w:t>2023-12-27</w:t>
            </w:r>
          </w:p>
        </w:tc>
      </w:tr>
      <w:tr w:rsidR="00F57ABD" w14:paraId="6EAEFCD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B2C7024" w14:textId="4854A161"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23</w:t>
            </w:r>
          </w:p>
        </w:tc>
        <w:tc>
          <w:tcPr>
            <w:tcW w:w="7726" w:type="dxa"/>
            <w:tcBorders>
              <w:top w:val="nil"/>
              <w:left w:val="nil"/>
              <w:bottom w:val="single" w:sz="4" w:space="0" w:color="auto"/>
              <w:right w:val="single" w:sz="4" w:space="0" w:color="auto"/>
            </w:tcBorders>
            <w:shd w:val="clear" w:color="auto" w:fill="auto"/>
            <w:noWrap/>
          </w:tcPr>
          <w:p w14:paraId="72D7179A" w14:textId="1A4ED5CF"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朱雀基金管理有限公司关于旗下基金改聘会计师事务所的公告</w:t>
            </w:r>
          </w:p>
        </w:tc>
        <w:tc>
          <w:tcPr>
            <w:tcW w:w="1630" w:type="dxa"/>
            <w:tcBorders>
              <w:top w:val="nil"/>
              <w:left w:val="nil"/>
              <w:bottom w:val="single" w:sz="4" w:space="0" w:color="auto"/>
              <w:right w:val="single" w:sz="4" w:space="0" w:color="auto"/>
            </w:tcBorders>
            <w:shd w:val="clear" w:color="auto" w:fill="auto"/>
            <w:noWrap/>
          </w:tcPr>
          <w:p w14:paraId="40B158F8" w14:textId="5D6D2F41" w:rsidR="00F57ABD" w:rsidRDefault="00F57ABD" w:rsidP="00F57ABD">
            <w:pPr>
              <w:widowControl/>
              <w:jc w:val="center"/>
              <w:rPr>
                <w:rFonts w:ascii="宋体" w:hAnsi="宋体" w:cs="宋体"/>
                <w:color w:val="000000"/>
                <w:kern w:val="0"/>
                <w:sz w:val="24"/>
              </w:rPr>
            </w:pPr>
            <w:r w:rsidRPr="00141265">
              <w:t>2023-11-01</w:t>
            </w:r>
          </w:p>
        </w:tc>
      </w:tr>
      <w:tr w:rsidR="00F57ABD" w14:paraId="6E04120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A264FF2" w14:textId="71BFD549"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24</w:t>
            </w:r>
          </w:p>
        </w:tc>
        <w:tc>
          <w:tcPr>
            <w:tcW w:w="7726" w:type="dxa"/>
            <w:tcBorders>
              <w:top w:val="nil"/>
              <w:left w:val="nil"/>
              <w:bottom w:val="single" w:sz="4" w:space="0" w:color="auto"/>
              <w:right w:val="single" w:sz="4" w:space="0" w:color="auto"/>
            </w:tcBorders>
            <w:shd w:val="clear" w:color="auto" w:fill="auto"/>
            <w:noWrap/>
          </w:tcPr>
          <w:p w14:paraId="3AD5C55D" w14:textId="54BC8F37"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w:t>
            </w:r>
            <w:r w:rsidRPr="0089403A">
              <w:rPr>
                <w:rFonts w:hint="eastAsia"/>
              </w:rPr>
              <w:t>2023</w:t>
            </w:r>
            <w:r w:rsidRPr="0089403A">
              <w:rPr>
                <w:rFonts w:hint="eastAsia"/>
              </w:rPr>
              <w:t>年</w:t>
            </w:r>
            <w:r w:rsidRPr="0089403A">
              <w:rPr>
                <w:rFonts w:hint="eastAsia"/>
              </w:rPr>
              <w:t>10</w:t>
            </w:r>
            <w:r w:rsidRPr="0089403A">
              <w:rPr>
                <w:rFonts w:hint="eastAsia"/>
              </w:rPr>
              <w:t>月</w:t>
            </w:r>
            <w:r w:rsidRPr="0089403A">
              <w:rPr>
                <w:rFonts w:hint="eastAsia"/>
              </w:rPr>
              <w:t>-2023</w:t>
            </w:r>
            <w:r w:rsidRPr="0089403A">
              <w:rPr>
                <w:rFonts w:hint="eastAsia"/>
              </w:rPr>
              <w:t>年</w:t>
            </w:r>
            <w:r w:rsidRPr="0089403A">
              <w:rPr>
                <w:rFonts w:hint="eastAsia"/>
              </w:rPr>
              <w:t>12</w:t>
            </w:r>
            <w:r w:rsidRPr="0089403A">
              <w:rPr>
                <w:rFonts w:hint="eastAsia"/>
              </w:rPr>
              <w:t>月非港股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36016172" w14:textId="60CF1E60" w:rsidR="00F57ABD" w:rsidRDefault="00F57ABD" w:rsidP="00F57ABD">
            <w:pPr>
              <w:widowControl/>
              <w:jc w:val="center"/>
              <w:rPr>
                <w:rFonts w:ascii="宋体" w:hAnsi="宋体" w:cs="宋体"/>
                <w:color w:val="000000"/>
                <w:kern w:val="0"/>
                <w:sz w:val="24"/>
              </w:rPr>
            </w:pPr>
            <w:r w:rsidRPr="00141265">
              <w:t>2023-10-19</w:t>
            </w:r>
          </w:p>
        </w:tc>
      </w:tr>
      <w:tr w:rsidR="00F57ABD" w14:paraId="5044239D"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D34788D" w14:textId="6766438F"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25</w:t>
            </w:r>
          </w:p>
        </w:tc>
        <w:tc>
          <w:tcPr>
            <w:tcW w:w="7726" w:type="dxa"/>
            <w:tcBorders>
              <w:top w:val="nil"/>
              <w:left w:val="nil"/>
              <w:bottom w:val="single" w:sz="4" w:space="0" w:color="auto"/>
              <w:right w:val="single" w:sz="4" w:space="0" w:color="auto"/>
            </w:tcBorders>
            <w:shd w:val="clear" w:color="auto" w:fill="auto"/>
            <w:noWrap/>
          </w:tcPr>
          <w:p w14:paraId="5101832D" w14:textId="4DD90B38"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朱雀基金管理有限公司关于旗下部分基金因非港股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421239E7" w14:textId="1A9046A0" w:rsidR="00F57ABD" w:rsidRDefault="00F57ABD" w:rsidP="00F57ABD">
            <w:pPr>
              <w:widowControl/>
              <w:jc w:val="center"/>
              <w:rPr>
                <w:rFonts w:ascii="宋体" w:hAnsi="宋体" w:cs="宋体"/>
                <w:color w:val="000000"/>
                <w:kern w:val="0"/>
                <w:sz w:val="24"/>
              </w:rPr>
            </w:pPr>
            <w:r w:rsidRPr="00141265">
              <w:t>2023-09-08</w:t>
            </w:r>
          </w:p>
        </w:tc>
      </w:tr>
      <w:tr w:rsidR="00F57ABD" w14:paraId="16984411"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1172FED" w14:textId="593AB078"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26</w:t>
            </w:r>
          </w:p>
        </w:tc>
        <w:tc>
          <w:tcPr>
            <w:tcW w:w="7726" w:type="dxa"/>
            <w:tcBorders>
              <w:top w:val="nil"/>
              <w:left w:val="nil"/>
              <w:bottom w:val="single" w:sz="4" w:space="0" w:color="auto"/>
              <w:right w:val="single" w:sz="4" w:space="0" w:color="auto"/>
            </w:tcBorders>
            <w:shd w:val="clear" w:color="auto" w:fill="auto"/>
            <w:noWrap/>
          </w:tcPr>
          <w:p w14:paraId="51967488" w14:textId="05F96801"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朱雀基金管理有限公司关于旗下部分基金因非港股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140172A8" w14:textId="4C179F11" w:rsidR="00F57ABD" w:rsidRDefault="00F57ABD" w:rsidP="00F57ABD">
            <w:pPr>
              <w:widowControl/>
              <w:jc w:val="center"/>
              <w:rPr>
                <w:rFonts w:ascii="宋体" w:hAnsi="宋体" w:cs="宋体"/>
                <w:color w:val="000000"/>
                <w:kern w:val="0"/>
                <w:sz w:val="24"/>
              </w:rPr>
            </w:pPr>
            <w:r w:rsidRPr="00141265">
              <w:t>2023-09-01</w:t>
            </w:r>
          </w:p>
        </w:tc>
      </w:tr>
      <w:tr w:rsidR="00F57ABD" w14:paraId="5FDB171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A77FA05" w14:textId="3B90DE89"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lastRenderedPageBreak/>
              <w:t>27</w:t>
            </w:r>
          </w:p>
        </w:tc>
        <w:tc>
          <w:tcPr>
            <w:tcW w:w="7726" w:type="dxa"/>
            <w:tcBorders>
              <w:top w:val="nil"/>
              <w:left w:val="nil"/>
              <w:bottom w:val="single" w:sz="4" w:space="0" w:color="auto"/>
              <w:right w:val="single" w:sz="4" w:space="0" w:color="auto"/>
            </w:tcBorders>
            <w:shd w:val="clear" w:color="auto" w:fill="auto"/>
            <w:noWrap/>
          </w:tcPr>
          <w:p w14:paraId="17BF745A" w14:textId="091A0BBB"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朱雀基金管理有限公司关于旗下全部基金获配非公开发行股票的公告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26DF4EB4" w14:textId="4740C54C" w:rsidR="00F57ABD" w:rsidRDefault="00F57ABD" w:rsidP="00F57ABD">
            <w:pPr>
              <w:widowControl/>
              <w:jc w:val="center"/>
              <w:rPr>
                <w:rFonts w:ascii="宋体" w:hAnsi="宋体" w:cs="宋体"/>
                <w:color w:val="000000"/>
                <w:kern w:val="0"/>
                <w:sz w:val="24"/>
              </w:rPr>
            </w:pPr>
            <w:r w:rsidRPr="00141265">
              <w:t>2023-08-07</w:t>
            </w:r>
          </w:p>
        </w:tc>
      </w:tr>
      <w:tr w:rsidR="00F57ABD" w14:paraId="18AEFD71"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311ED66" w14:textId="3FB5F9AC"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28</w:t>
            </w:r>
          </w:p>
        </w:tc>
        <w:tc>
          <w:tcPr>
            <w:tcW w:w="7726" w:type="dxa"/>
            <w:tcBorders>
              <w:top w:val="nil"/>
              <w:left w:val="nil"/>
              <w:bottom w:val="single" w:sz="4" w:space="0" w:color="auto"/>
              <w:right w:val="single" w:sz="4" w:space="0" w:color="auto"/>
            </w:tcBorders>
            <w:shd w:val="clear" w:color="auto" w:fill="auto"/>
            <w:noWrap/>
          </w:tcPr>
          <w:p w14:paraId="11CD61A9" w14:textId="4A710182" w:rsidR="00F57ABD" w:rsidRDefault="00F57ABD" w:rsidP="00F57ABD">
            <w:pPr>
              <w:widowControl/>
              <w:jc w:val="left"/>
              <w:rPr>
                <w:rFonts w:ascii="宋体" w:hAnsi="宋体" w:cs="宋体"/>
                <w:color w:val="000000"/>
                <w:kern w:val="0"/>
                <w:sz w:val="24"/>
              </w:rPr>
            </w:pPr>
            <w:r w:rsidRPr="0089403A">
              <w:rPr>
                <w:rFonts w:hint="eastAsia"/>
              </w:rPr>
              <w:t>朱雀基金管理有限公司关于调降旗下部分基金费率并修订基金合同等法律文件的公告</w:t>
            </w:r>
          </w:p>
        </w:tc>
        <w:tc>
          <w:tcPr>
            <w:tcW w:w="1630" w:type="dxa"/>
            <w:tcBorders>
              <w:top w:val="nil"/>
              <w:left w:val="nil"/>
              <w:bottom w:val="single" w:sz="4" w:space="0" w:color="auto"/>
              <w:right w:val="single" w:sz="4" w:space="0" w:color="auto"/>
            </w:tcBorders>
            <w:shd w:val="clear" w:color="auto" w:fill="auto"/>
            <w:noWrap/>
          </w:tcPr>
          <w:p w14:paraId="0F2850C3" w14:textId="6C53C086" w:rsidR="00F57ABD" w:rsidRDefault="00F57ABD" w:rsidP="00F57ABD">
            <w:pPr>
              <w:widowControl/>
              <w:jc w:val="center"/>
              <w:rPr>
                <w:rFonts w:ascii="宋体" w:hAnsi="宋体" w:cs="宋体"/>
                <w:color w:val="000000"/>
                <w:kern w:val="0"/>
                <w:sz w:val="24"/>
              </w:rPr>
            </w:pPr>
            <w:r w:rsidRPr="00141265">
              <w:t>2023-07-22</w:t>
            </w:r>
          </w:p>
        </w:tc>
      </w:tr>
      <w:tr w:rsidR="00F57ABD" w14:paraId="5CC1825C"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C3D9F29" w14:textId="43381566"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29</w:t>
            </w:r>
          </w:p>
        </w:tc>
        <w:tc>
          <w:tcPr>
            <w:tcW w:w="7726" w:type="dxa"/>
            <w:tcBorders>
              <w:top w:val="nil"/>
              <w:left w:val="nil"/>
              <w:bottom w:val="single" w:sz="4" w:space="0" w:color="auto"/>
              <w:right w:val="single" w:sz="4" w:space="0" w:color="auto"/>
            </w:tcBorders>
            <w:shd w:val="clear" w:color="auto" w:fill="auto"/>
            <w:noWrap/>
          </w:tcPr>
          <w:p w14:paraId="330FA9D5" w14:textId="00C6BE33"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朱雀基金管理有限公司关于旗下部分基金因非港股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7AF32438" w14:textId="637B54EF" w:rsidR="00F57ABD" w:rsidRDefault="00F57ABD" w:rsidP="00F57ABD">
            <w:pPr>
              <w:widowControl/>
              <w:jc w:val="center"/>
              <w:rPr>
                <w:rFonts w:ascii="宋体" w:hAnsi="宋体" w:cs="宋体"/>
                <w:color w:val="000000"/>
                <w:kern w:val="0"/>
                <w:sz w:val="24"/>
              </w:rPr>
            </w:pPr>
            <w:r w:rsidRPr="00141265">
              <w:t>2023-07-17</w:t>
            </w:r>
          </w:p>
        </w:tc>
      </w:tr>
      <w:tr w:rsidR="00F57ABD" w14:paraId="142EE2BE"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6B2F3BE" w14:textId="5999C2B2"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30</w:t>
            </w:r>
          </w:p>
        </w:tc>
        <w:tc>
          <w:tcPr>
            <w:tcW w:w="7726" w:type="dxa"/>
            <w:tcBorders>
              <w:top w:val="nil"/>
              <w:left w:val="nil"/>
              <w:bottom w:val="single" w:sz="4" w:space="0" w:color="auto"/>
              <w:right w:val="single" w:sz="4" w:space="0" w:color="auto"/>
            </w:tcBorders>
            <w:shd w:val="clear" w:color="auto" w:fill="auto"/>
            <w:noWrap/>
          </w:tcPr>
          <w:p w14:paraId="1A3D7E37" w14:textId="0E8F175B" w:rsidR="00F57ABD" w:rsidRDefault="00F57ABD" w:rsidP="00F57ABD">
            <w:pPr>
              <w:widowControl/>
              <w:jc w:val="left"/>
              <w:rPr>
                <w:rFonts w:ascii="宋体" w:hAnsi="宋体" w:cs="宋体"/>
                <w:color w:val="000000"/>
                <w:kern w:val="0"/>
                <w:sz w:val="24"/>
              </w:rPr>
            </w:pPr>
            <w:r w:rsidRPr="0089403A">
              <w:rPr>
                <w:rFonts w:hint="eastAsia"/>
              </w:rPr>
              <w:t>朱雀基金管理有限公司关于更新旗下部分基金</w:t>
            </w:r>
            <w:r w:rsidRPr="0089403A">
              <w:rPr>
                <w:rFonts w:hint="eastAsia"/>
              </w:rPr>
              <w:t>2023</w:t>
            </w:r>
            <w:r w:rsidRPr="0089403A">
              <w:rPr>
                <w:rFonts w:hint="eastAsia"/>
              </w:rPr>
              <w:t>年非港股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441FD4AE" w14:textId="227FBD4D" w:rsidR="00F57ABD" w:rsidRDefault="00F57ABD" w:rsidP="00F57ABD">
            <w:pPr>
              <w:widowControl/>
              <w:jc w:val="center"/>
              <w:rPr>
                <w:rFonts w:ascii="宋体" w:hAnsi="宋体" w:cs="宋体"/>
                <w:color w:val="000000"/>
                <w:kern w:val="0"/>
                <w:sz w:val="24"/>
              </w:rPr>
            </w:pPr>
            <w:r w:rsidRPr="00141265">
              <w:t>2023-03-15</w:t>
            </w:r>
          </w:p>
        </w:tc>
      </w:tr>
      <w:tr w:rsidR="00F57ABD" w14:paraId="6BC2A5D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5BD4A18" w14:textId="7ACEFBE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31</w:t>
            </w:r>
          </w:p>
        </w:tc>
        <w:tc>
          <w:tcPr>
            <w:tcW w:w="7726" w:type="dxa"/>
            <w:tcBorders>
              <w:top w:val="nil"/>
              <w:left w:val="nil"/>
              <w:bottom w:val="single" w:sz="4" w:space="0" w:color="auto"/>
              <w:right w:val="single" w:sz="4" w:space="0" w:color="auto"/>
            </w:tcBorders>
            <w:shd w:val="clear" w:color="auto" w:fill="auto"/>
            <w:noWrap/>
          </w:tcPr>
          <w:p w14:paraId="29D067F7" w14:textId="758F0745"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朱雀基金管理有限公司关于旗下基金投资北交所股票及相关风险提示性公告</w:t>
            </w:r>
          </w:p>
        </w:tc>
        <w:tc>
          <w:tcPr>
            <w:tcW w:w="1630" w:type="dxa"/>
            <w:tcBorders>
              <w:top w:val="nil"/>
              <w:left w:val="nil"/>
              <w:bottom w:val="single" w:sz="4" w:space="0" w:color="auto"/>
              <w:right w:val="single" w:sz="4" w:space="0" w:color="auto"/>
            </w:tcBorders>
            <w:shd w:val="clear" w:color="auto" w:fill="auto"/>
            <w:noWrap/>
          </w:tcPr>
          <w:p w14:paraId="3B314220" w14:textId="0B16EB1D" w:rsidR="00F57ABD" w:rsidRDefault="00F57ABD" w:rsidP="00F57ABD">
            <w:pPr>
              <w:widowControl/>
              <w:jc w:val="center"/>
              <w:rPr>
                <w:rFonts w:ascii="宋体" w:hAnsi="宋体" w:cs="宋体"/>
                <w:color w:val="000000"/>
                <w:kern w:val="0"/>
                <w:sz w:val="24"/>
              </w:rPr>
            </w:pPr>
            <w:r w:rsidRPr="00141265">
              <w:t>2023-02-20</w:t>
            </w:r>
          </w:p>
        </w:tc>
      </w:tr>
      <w:tr w:rsidR="00F57ABD" w14:paraId="5C6F4C1B"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560BEE9" w14:textId="71A3CE6C"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32</w:t>
            </w:r>
          </w:p>
        </w:tc>
        <w:tc>
          <w:tcPr>
            <w:tcW w:w="7726" w:type="dxa"/>
            <w:tcBorders>
              <w:top w:val="nil"/>
              <w:left w:val="nil"/>
              <w:bottom w:val="single" w:sz="4" w:space="0" w:color="auto"/>
              <w:right w:val="single" w:sz="4" w:space="0" w:color="auto"/>
            </w:tcBorders>
            <w:shd w:val="clear" w:color="auto" w:fill="auto"/>
            <w:noWrap/>
          </w:tcPr>
          <w:p w14:paraId="0B88C518" w14:textId="6ECBD504"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18FDD208" w14:textId="1CB7F0C4" w:rsidR="00F57ABD" w:rsidRDefault="00F57ABD" w:rsidP="00F57ABD">
            <w:pPr>
              <w:widowControl/>
              <w:jc w:val="center"/>
              <w:rPr>
                <w:rFonts w:ascii="宋体" w:hAnsi="宋体" w:cs="宋体"/>
                <w:color w:val="000000"/>
                <w:kern w:val="0"/>
                <w:sz w:val="24"/>
              </w:rPr>
            </w:pPr>
            <w:r w:rsidRPr="00141265">
              <w:t>2023-01-17</w:t>
            </w:r>
          </w:p>
        </w:tc>
      </w:tr>
      <w:tr w:rsidR="00F57ABD" w14:paraId="5549833C"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4C7816D" w14:textId="3432F3E8"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33</w:t>
            </w:r>
          </w:p>
        </w:tc>
        <w:tc>
          <w:tcPr>
            <w:tcW w:w="7726" w:type="dxa"/>
            <w:tcBorders>
              <w:top w:val="nil"/>
              <w:left w:val="nil"/>
              <w:bottom w:val="single" w:sz="4" w:space="0" w:color="auto"/>
              <w:right w:val="single" w:sz="4" w:space="0" w:color="auto"/>
            </w:tcBorders>
            <w:shd w:val="clear" w:color="auto" w:fill="auto"/>
            <w:noWrap/>
          </w:tcPr>
          <w:p w14:paraId="64BCEF5D" w14:textId="2562A916"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3F37A88A" w14:textId="54FD7002" w:rsidR="00F57ABD" w:rsidRDefault="00F57ABD" w:rsidP="00F57ABD">
            <w:pPr>
              <w:widowControl/>
              <w:jc w:val="center"/>
              <w:rPr>
                <w:rFonts w:ascii="宋体" w:hAnsi="宋体" w:cs="宋体"/>
                <w:color w:val="000000"/>
                <w:kern w:val="0"/>
                <w:sz w:val="24"/>
              </w:rPr>
            </w:pPr>
            <w:r w:rsidRPr="00141265">
              <w:t>2023-01-04</w:t>
            </w:r>
          </w:p>
        </w:tc>
      </w:tr>
      <w:tr w:rsidR="00F57ABD" w14:paraId="472111A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03C6B1E" w14:textId="21C3C9B3"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34</w:t>
            </w:r>
          </w:p>
        </w:tc>
        <w:tc>
          <w:tcPr>
            <w:tcW w:w="7726" w:type="dxa"/>
            <w:tcBorders>
              <w:top w:val="nil"/>
              <w:left w:val="nil"/>
              <w:bottom w:val="single" w:sz="4" w:space="0" w:color="auto"/>
              <w:right w:val="single" w:sz="4" w:space="0" w:color="auto"/>
            </w:tcBorders>
            <w:shd w:val="clear" w:color="auto" w:fill="auto"/>
            <w:noWrap/>
          </w:tcPr>
          <w:p w14:paraId="28E61AF7" w14:textId="47D8BA41"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w:t>
            </w:r>
            <w:r w:rsidRPr="0089403A">
              <w:rPr>
                <w:rFonts w:hint="eastAsia"/>
              </w:rPr>
              <w:t>2023</w:t>
            </w:r>
            <w:r w:rsidRPr="0089403A">
              <w:rPr>
                <w:rFonts w:hint="eastAsia"/>
              </w:rPr>
              <w:t>年非港股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1EA550FF" w14:textId="606E312B" w:rsidR="00F57ABD" w:rsidRDefault="00F57ABD" w:rsidP="00F57ABD">
            <w:pPr>
              <w:widowControl/>
              <w:jc w:val="center"/>
              <w:rPr>
                <w:rFonts w:ascii="宋体" w:hAnsi="宋体" w:cs="宋体"/>
                <w:color w:val="000000"/>
                <w:kern w:val="0"/>
                <w:sz w:val="24"/>
              </w:rPr>
            </w:pPr>
            <w:r w:rsidRPr="00141265">
              <w:t>2022-12-30</w:t>
            </w:r>
          </w:p>
        </w:tc>
      </w:tr>
      <w:tr w:rsidR="00F57ABD" w14:paraId="224A556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AAE9399" w14:textId="6F1D9744"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35</w:t>
            </w:r>
          </w:p>
        </w:tc>
        <w:tc>
          <w:tcPr>
            <w:tcW w:w="7726" w:type="dxa"/>
            <w:tcBorders>
              <w:top w:val="nil"/>
              <w:left w:val="nil"/>
              <w:bottom w:val="single" w:sz="4" w:space="0" w:color="auto"/>
              <w:right w:val="single" w:sz="4" w:space="0" w:color="auto"/>
            </w:tcBorders>
            <w:shd w:val="clear" w:color="auto" w:fill="auto"/>
            <w:noWrap/>
          </w:tcPr>
          <w:p w14:paraId="7661384F" w14:textId="70CE57B0"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w:t>
            </w:r>
            <w:r w:rsidRPr="0089403A">
              <w:rPr>
                <w:rFonts w:hint="eastAsia"/>
              </w:rPr>
              <w:t>2022</w:t>
            </w:r>
            <w:r w:rsidRPr="0089403A">
              <w:rPr>
                <w:rFonts w:hint="eastAsia"/>
              </w:rPr>
              <w:t>年年</w:t>
            </w:r>
            <w:proofErr w:type="gramStart"/>
            <w:r w:rsidRPr="0089403A">
              <w:rPr>
                <w:rFonts w:hint="eastAsia"/>
              </w:rPr>
              <w:t>末非港股通交易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0ABA25D7" w14:textId="3706EFC0" w:rsidR="00F57ABD" w:rsidRDefault="00F57ABD" w:rsidP="00F57ABD">
            <w:pPr>
              <w:widowControl/>
              <w:jc w:val="center"/>
              <w:rPr>
                <w:rFonts w:ascii="宋体" w:hAnsi="宋体" w:cs="宋体"/>
                <w:color w:val="000000"/>
                <w:kern w:val="0"/>
                <w:sz w:val="24"/>
              </w:rPr>
            </w:pPr>
            <w:r w:rsidRPr="00141265">
              <w:t>2022-12-26</w:t>
            </w:r>
          </w:p>
        </w:tc>
      </w:tr>
      <w:tr w:rsidR="00F57ABD" w14:paraId="631913EB"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8BA9E38" w14:textId="5D40F13B"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36</w:t>
            </w:r>
          </w:p>
        </w:tc>
        <w:tc>
          <w:tcPr>
            <w:tcW w:w="7726" w:type="dxa"/>
            <w:tcBorders>
              <w:top w:val="nil"/>
              <w:left w:val="nil"/>
              <w:bottom w:val="single" w:sz="4" w:space="0" w:color="auto"/>
              <w:right w:val="single" w:sz="4" w:space="0" w:color="auto"/>
            </w:tcBorders>
            <w:shd w:val="clear" w:color="auto" w:fill="auto"/>
            <w:noWrap/>
          </w:tcPr>
          <w:p w14:paraId="4A54895C" w14:textId="4BC950A1"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朱雀基金管理有限公司关于旗下部分基金参加部分机构费率优惠活动的公告</w:t>
            </w:r>
          </w:p>
        </w:tc>
        <w:tc>
          <w:tcPr>
            <w:tcW w:w="1630" w:type="dxa"/>
            <w:tcBorders>
              <w:top w:val="nil"/>
              <w:left w:val="nil"/>
              <w:bottom w:val="single" w:sz="4" w:space="0" w:color="auto"/>
              <w:right w:val="single" w:sz="4" w:space="0" w:color="auto"/>
            </w:tcBorders>
            <w:shd w:val="clear" w:color="auto" w:fill="auto"/>
            <w:noWrap/>
          </w:tcPr>
          <w:p w14:paraId="28265F0C" w14:textId="05270E61" w:rsidR="00F57ABD" w:rsidRDefault="00F57ABD" w:rsidP="00F57ABD">
            <w:pPr>
              <w:widowControl/>
              <w:jc w:val="center"/>
              <w:rPr>
                <w:rFonts w:ascii="宋体" w:hAnsi="宋体" w:cs="宋体"/>
                <w:color w:val="000000"/>
                <w:kern w:val="0"/>
                <w:sz w:val="24"/>
              </w:rPr>
            </w:pPr>
            <w:r w:rsidRPr="00141265">
              <w:t>2022-12-21</w:t>
            </w:r>
          </w:p>
        </w:tc>
      </w:tr>
      <w:tr w:rsidR="00F57ABD" w14:paraId="54E3898A"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41DFFED" w14:textId="1F734312"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37</w:t>
            </w:r>
          </w:p>
        </w:tc>
        <w:tc>
          <w:tcPr>
            <w:tcW w:w="7726" w:type="dxa"/>
            <w:tcBorders>
              <w:top w:val="nil"/>
              <w:left w:val="nil"/>
              <w:bottom w:val="single" w:sz="4" w:space="0" w:color="auto"/>
              <w:right w:val="single" w:sz="4" w:space="0" w:color="auto"/>
            </w:tcBorders>
            <w:shd w:val="clear" w:color="auto" w:fill="auto"/>
            <w:noWrap/>
          </w:tcPr>
          <w:p w14:paraId="1DF013F9" w14:textId="4FA202EC"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朱雀基金管理有限公司关于旗下部分基金在直销渠道开展费率优惠活动的公告</w:t>
            </w:r>
          </w:p>
        </w:tc>
        <w:tc>
          <w:tcPr>
            <w:tcW w:w="1630" w:type="dxa"/>
            <w:tcBorders>
              <w:top w:val="nil"/>
              <w:left w:val="nil"/>
              <w:bottom w:val="single" w:sz="4" w:space="0" w:color="auto"/>
              <w:right w:val="single" w:sz="4" w:space="0" w:color="auto"/>
            </w:tcBorders>
            <w:shd w:val="clear" w:color="auto" w:fill="auto"/>
            <w:noWrap/>
          </w:tcPr>
          <w:p w14:paraId="1E3AE803" w14:textId="1556FA31" w:rsidR="00F57ABD" w:rsidRDefault="00F57ABD" w:rsidP="00F57ABD">
            <w:pPr>
              <w:widowControl/>
              <w:jc w:val="center"/>
              <w:rPr>
                <w:rFonts w:ascii="宋体" w:hAnsi="宋体" w:cs="宋体"/>
                <w:color w:val="000000"/>
                <w:kern w:val="0"/>
                <w:sz w:val="24"/>
              </w:rPr>
            </w:pPr>
            <w:r w:rsidRPr="00141265">
              <w:t>2022-12-21</w:t>
            </w:r>
          </w:p>
        </w:tc>
      </w:tr>
      <w:tr w:rsidR="00F57ABD" w14:paraId="744CC6EA"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82053CB" w14:textId="23E0CCD4"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38</w:t>
            </w:r>
          </w:p>
        </w:tc>
        <w:tc>
          <w:tcPr>
            <w:tcW w:w="7726" w:type="dxa"/>
            <w:tcBorders>
              <w:top w:val="nil"/>
              <w:left w:val="nil"/>
              <w:bottom w:val="single" w:sz="4" w:space="0" w:color="auto"/>
              <w:right w:val="single" w:sz="4" w:space="0" w:color="auto"/>
            </w:tcBorders>
            <w:shd w:val="clear" w:color="auto" w:fill="auto"/>
            <w:noWrap/>
          </w:tcPr>
          <w:p w14:paraId="4B3B525C" w14:textId="6CC051B7"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朱雀基金管理有限公司关于旗下部分基金在直销渠道开展费率优惠活动的公告</w:t>
            </w:r>
          </w:p>
        </w:tc>
        <w:tc>
          <w:tcPr>
            <w:tcW w:w="1630" w:type="dxa"/>
            <w:tcBorders>
              <w:top w:val="nil"/>
              <w:left w:val="nil"/>
              <w:bottom w:val="single" w:sz="4" w:space="0" w:color="auto"/>
              <w:right w:val="single" w:sz="4" w:space="0" w:color="auto"/>
            </w:tcBorders>
            <w:shd w:val="clear" w:color="auto" w:fill="auto"/>
            <w:noWrap/>
          </w:tcPr>
          <w:p w14:paraId="3DD3756E" w14:textId="290BD2CB" w:rsidR="00F57ABD" w:rsidRDefault="00F57ABD" w:rsidP="00F57ABD">
            <w:pPr>
              <w:widowControl/>
              <w:jc w:val="center"/>
              <w:rPr>
                <w:rFonts w:ascii="宋体" w:hAnsi="宋体" w:cs="宋体"/>
                <w:color w:val="000000"/>
                <w:kern w:val="0"/>
                <w:sz w:val="24"/>
              </w:rPr>
            </w:pPr>
            <w:r w:rsidRPr="00141265">
              <w:t>2022-07-07</w:t>
            </w:r>
          </w:p>
        </w:tc>
      </w:tr>
      <w:tr w:rsidR="00F57ABD" w14:paraId="54F6A09D"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077E390" w14:textId="021E98D7"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39</w:t>
            </w:r>
          </w:p>
        </w:tc>
        <w:tc>
          <w:tcPr>
            <w:tcW w:w="7726" w:type="dxa"/>
            <w:tcBorders>
              <w:top w:val="nil"/>
              <w:left w:val="nil"/>
              <w:bottom w:val="single" w:sz="4" w:space="0" w:color="auto"/>
              <w:right w:val="single" w:sz="4" w:space="0" w:color="auto"/>
            </w:tcBorders>
            <w:shd w:val="clear" w:color="auto" w:fill="auto"/>
            <w:noWrap/>
          </w:tcPr>
          <w:p w14:paraId="5261DC29" w14:textId="438FCB41"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朱雀基金管理有限公司关于旗下部分基金参加部分机构费率优惠活动的公告</w:t>
            </w:r>
          </w:p>
        </w:tc>
        <w:tc>
          <w:tcPr>
            <w:tcW w:w="1630" w:type="dxa"/>
            <w:tcBorders>
              <w:top w:val="nil"/>
              <w:left w:val="nil"/>
              <w:bottom w:val="single" w:sz="4" w:space="0" w:color="auto"/>
              <w:right w:val="single" w:sz="4" w:space="0" w:color="auto"/>
            </w:tcBorders>
            <w:shd w:val="clear" w:color="auto" w:fill="auto"/>
            <w:noWrap/>
          </w:tcPr>
          <w:p w14:paraId="0F47EA5D" w14:textId="7E7559D3" w:rsidR="00F57ABD" w:rsidRDefault="00F57ABD" w:rsidP="00F57ABD">
            <w:pPr>
              <w:widowControl/>
              <w:jc w:val="center"/>
              <w:rPr>
                <w:rFonts w:ascii="宋体" w:hAnsi="宋体" w:cs="宋体"/>
                <w:color w:val="000000"/>
                <w:kern w:val="0"/>
                <w:sz w:val="24"/>
              </w:rPr>
            </w:pPr>
            <w:r w:rsidRPr="00141265">
              <w:t>2022-07-07</w:t>
            </w:r>
          </w:p>
        </w:tc>
      </w:tr>
      <w:tr w:rsidR="00F57ABD" w14:paraId="311B068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47C9508" w14:textId="6ADA2FF1"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40</w:t>
            </w:r>
          </w:p>
        </w:tc>
        <w:tc>
          <w:tcPr>
            <w:tcW w:w="7726" w:type="dxa"/>
            <w:tcBorders>
              <w:top w:val="nil"/>
              <w:left w:val="nil"/>
              <w:bottom w:val="single" w:sz="4" w:space="0" w:color="auto"/>
              <w:right w:val="single" w:sz="4" w:space="0" w:color="auto"/>
            </w:tcBorders>
            <w:shd w:val="clear" w:color="auto" w:fill="auto"/>
            <w:noWrap/>
          </w:tcPr>
          <w:p w14:paraId="0A6E2043" w14:textId="6B28277A"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3DD86156" w14:textId="7E7F613D" w:rsidR="00F57ABD" w:rsidRDefault="00F57ABD" w:rsidP="00F57ABD">
            <w:pPr>
              <w:widowControl/>
              <w:jc w:val="center"/>
              <w:rPr>
                <w:rFonts w:ascii="宋体" w:hAnsi="宋体" w:cs="宋体"/>
                <w:color w:val="000000"/>
                <w:kern w:val="0"/>
                <w:sz w:val="24"/>
              </w:rPr>
            </w:pPr>
            <w:r w:rsidRPr="00141265">
              <w:t>2022-04-22</w:t>
            </w:r>
          </w:p>
        </w:tc>
      </w:tr>
      <w:tr w:rsidR="00F57ABD" w14:paraId="236773F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4D5F3D4" w14:textId="4F6E2777"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41</w:t>
            </w:r>
          </w:p>
        </w:tc>
        <w:tc>
          <w:tcPr>
            <w:tcW w:w="7726" w:type="dxa"/>
            <w:tcBorders>
              <w:top w:val="nil"/>
              <w:left w:val="nil"/>
              <w:bottom w:val="single" w:sz="4" w:space="0" w:color="auto"/>
              <w:right w:val="single" w:sz="4" w:space="0" w:color="auto"/>
            </w:tcBorders>
            <w:shd w:val="clear" w:color="auto" w:fill="auto"/>
            <w:noWrap/>
          </w:tcPr>
          <w:p w14:paraId="4EF81236" w14:textId="5192DF03"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1DDF87BF" w14:textId="0A825ACC" w:rsidR="00F57ABD" w:rsidRDefault="00F57ABD" w:rsidP="00F57ABD">
            <w:pPr>
              <w:widowControl/>
              <w:jc w:val="center"/>
              <w:rPr>
                <w:rFonts w:ascii="宋体" w:hAnsi="宋体" w:cs="宋体"/>
                <w:color w:val="000000"/>
                <w:kern w:val="0"/>
                <w:sz w:val="24"/>
              </w:rPr>
            </w:pPr>
            <w:r w:rsidRPr="00141265">
              <w:t>2022-04-20</w:t>
            </w:r>
          </w:p>
        </w:tc>
      </w:tr>
      <w:tr w:rsidR="00F57ABD" w14:paraId="23F408FB"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2D8B2CE" w14:textId="4FECD4D3"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42</w:t>
            </w:r>
          </w:p>
        </w:tc>
        <w:tc>
          <w:tcPr>
            <w:tcW w:w="7726" w:type="dxa"/>
            <w:tcBorders>
              <w:top w:val="nil"/>
              <w:left w:val="nil"/>
              <w:bottom w:val="single" w:sz="4" w:space="0" w:color="auto"/>
              <w:right w:val="single" w:sz="4" w:space="0" w:color="auto"/>
            </w:tcBorders>
            <w:shd w:val="clear" w:color="auto" w:fill="auto"/>
            <w:noWrap/>
          </w:tcPr>
          <w:p w14:paraId="5E506E23" w14:textId="099BFEE4"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4E9E24BB" w14:textId="408E28A6" w:rsidR="00F57ABD" w:rsidRDefault="00F57ABD" w:rsidP="00F57ABD">
            <w:pPr>
              <w:widowControl/>
              <w:jc w:val="center"/>
              <w:rPr>
                <w:rFonts w:ascii="宋体" w:hAnsi="宋体" w:cs="宋体"/>
                <w:color w:val="000000"/>
                <w:kern w:val="0"/>
                <w:sz w:val="24"/>
              </w:rPr>
            </w:pPr>
            <w:r w:rsidRPr="00141265">
              <w:t>2022-04-19</w:t>
            </w:r>
          </w:p>
        </w:tc>
      </w:tr>
      <w:tr w:rsidR="00F57ABD" w14:paraId="612112C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4094000" w14:textId="4BAD7F43"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43</w:t>
            </w:r>
          </w:p>
        </w:tc>
        <w:tc>
          <w:tcPr>
            <w:tcW w:w="7726" w:type="dxa"/>
            <w:tcBorders>
              <w:top w:val="nil"/>
              <w:left w:val="nil"/>
              <w:bottom w:val="single" w:sz="4" w:space="0" w:color="auto"/>
              <w:right w:val="single" w:sz="4" w:space="0" w:color="auto"/>
            </w:tcBorders>
            <w:shd w:val="clear" w:color="auto" w:fill="auto"/>
            <w:noWrap/>
          </w:tcPr>
          <w:p w14:paraId="51E93064" w14:textId="78E50CE2"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朱雀基金管理有限公司关于旗下部分基金在直销渠道开展费率优惠活动的公告</w:t>
            </w:r>
          </w:p>
        </w:tc>
        <w:tc>
          <w:tcPr>
            <w:tcW w:w="1630" w:type="dxa"/>
            <w:tcBorders>
              <w:top w:val="nil"/>
              <w:left w:val="nil"/>
              <w:bottom w:val="single" w:sz="4" w:space="0" w:color="auto"/>
              <w:right w:val="single" w:sz="4" w:space="0" w:color="auto"/>
            </w:tcBorders>
            <w:shd w:val="clear" w:color="auto" w:fill="auto"/>
            <w:noWrap/>
          </w:tcPr>
          <w:p w14:paraId="79F257D9" w14:textId="062C1FC8" w:rsidR="00F57ABD" w:rsidRDefault="00F57ABD" w:rsidP="00F57ABD">
            <w:pPr>
              <w:widowControl/>
              <w:jc w:val="center"/>
              <w:rPr>
                <w:rFonts w:ascii="宋体" w:hAnsi="宋体" w:cs="宋体"/>
                <w:color w:val="000000"/>
                <w:kern w:val="0"/>
                <w:sz w:val="24"/>
              </w:rPr>
            </w:pPr>
            <w:r w:rsidRPr="00141265">
              <w:t>2022-04-08</w:t>
            </w:r>
          </w:p>
        </w:tc>
      </w:tr>
      <w:tr w:rsidR="00F57ABD" w14:paraId="0F46CD2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CDA01FB" w14:textId="59F81AA9"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44</w:t>
            </w:r>
          </w:p>
        </w:tc>
        <w:tc>
          <w:tcPr>
            <w:tcW w:w="7726" w:type="dxa"/>
            <w:tcBorders>
              <w:top w:val="nil"/>
              <w:left w:val="nil"/>
              <w:bottom w:val="single" w:sz="4" w:space="0" w:color="auto"/>
              <w:right w:val="single" w:sz="4" w:space="0" w:color="auto"/>
            </w:tcBorders>
            <w:shd w:val="clear" w:color="auto" w:fill="auto"/>
            <w:noWrap/>
          </w:tcPr>
          <w:p w14:paraId="628AE208" w14:textId="0F87C9F6"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朱雀基金管理有限公司关于旗下部分基金参加部分机构费率优惠活动的公告</w:t>
            </w:r>
          </w:p>
        </w:tc>
        <w:tc>
          <w:tcPr>
            <w:tcW w:w="1630" w:type="dxa"/>
            <w:tcBorders>
              <w:top w:val="nil"/>
              <w:left w:val="nil"/>
              <w:bottom w:val="single" w:sz="4" w:space="0" w:color="auto"/>
              <w:right w:val="single" w:sz="4" w:space="0" w:color="auto"/>
            </w:tcBorders>
            <w:shd w:val="clear" w:color="auto" w:fill="auto"/>
            <w:noWrap/>
          </w:tcPr>
          <w:p w14:paraId="050E43AC" w14:textId="675B89B4" w:rsidR="00F57ABD" w:rsidRDefault="00F57ABD" w:rsidP="00F57ABD">
            <w:pPr>
              <w:widowControl/>
              <w:jc w:val="center"/>
              <w:rPr>
                <w:rFonts w:ascii="宋体" w:hAnsi="宋体" w:cs="宋体"/>
                <w:color w:val="000000"/>
                <w:kern w:val="0"/>
                <w:sz w:val="24"/>
              </w:rPr>
            </w:pPr>
            <w:r w:rsidRPr="00141265">
              <w:t>2022-04-08</w:t>
            </w:r>
          </w:p>
        </w:tc>
      </w:tr>
      <w:tr w:rsidR="00F57ABD" w14:paraId="6EECF9B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A38A5A3" w14:textId="1E239FC3"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45</w:t>
            </w:r>
          </w:p>
        </w:tc>
        <w:tc>
          <w:tcPr>
            <w:tcW w:w="7726" w:type="dxa"/>
            <w:tcBorders>
              <w:top w:val="nil"/>
              <w:left w:val="nil"/>
              <w:bottom w:val="single" w:sz="4" w:space="0" w:color="auto"/>
              <w:right w:val="single" w:sz="4" w:space="0" w:color="auto"/>
            </w:tcBorders>
            <w:shd w:val="clear" w:color="auto" w:fill="auto"/>
            <w:noWrap/>
          </w:tcPr>
          <w:p w14:paraId="5A372399" w14:textId="55F6A92E"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105D8611" w14:textId="72C527F8" w:rsidR="00F57ABD" w:rsidRDefault="00F57ABD" w:rsidP="00F57ABD">
            <w:pPr>
              <w:widowControl/>
              <w:jc w:val="center"/>
              <w:rPr>
                <w:rFonts w:ascii="宋体" w:hAnsi="宋体" w:cs="宋体"/>
                <w:color w:val="000000"/>
                <w:kern w:val="0"/>
                <w:sz w:val="24"/>
              </w:rPr>
            </w:pPr>
            <w:r w:rsidRPr="00141265">
              <w:t>2022-03-16</w:t>
            </w:r>
          </w:p>
        </w:tc>
      </w:tr>
      <w:tr w:rsidR="00F57ABD" w14:paraId="4D2E615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434BC85" w14:textId="57B4B190"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46</w:t>
            </w:r>
          </w:p>
        </w:tc>
        <w:tc>
          <w:tcPr>
            <w:tcW w:w="7726" w:type="dxa"/>
            <w:tcBorders>
              <w:top w:val="nil"/>
              <w:left w:val="nil"/>
              <w:bottom w:val="single" w:sz="4" w:space="0" w:color="auto"/>
              <w:right w:val="single" w:sz="4" w:space="0" w:color="auto"/>
            </w:tcBorders>
            <w:shd w:val="clear" w:color="auto" w:fill="auto"/>
            <w:noWrap/>
          </w:tcPr>
          <w:p w14:paraId="46310877" w14:textId="7987CE53"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621EA860" w14:textId="6A03357E" w:rsidR="00F57ABD" w:rsidRDefault="00F57ABD" w:rsidP="00F57ABD">
            <w:pPr>
              <w:widowControl/>
              <w:jc w:val="center"/>
              <w:rPr>
                <w:rFonts w:ascii="宋体" w:hAnsi="宋体" w:cs="宋体"/>
                <w:color w:val="000000"/>
                <w:kern w:val="0"/>
                <w:sz w:val="24"/>
              </w:rPr>
            </w:pPr>
            <w:r w:rsidRPr="00141265">
              <w:t>2022-03-12</w:t>
            </w:r>
          </w:p>
        </w:tc>
      </w:tr>
      <w:tr w:rsidR="00F57ABD" w14:paraId="3F21683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75900C1" w14:textId="4A0CC438"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47</w:t>
            </w:r>
          </w:p>
        </w:tc>
        <w:tc>
          <w:tcPr>
            <w:tcW w:w="7726" w:type="dxa"/>
            <w:tcBorders>
              <w:top w:val="nil"/>
              <w:left w:val="nil"/>
              <w:bottom w:val="single" w:sz="4" w:space="0" w:color="auto"/>
              <w:right w:val="single" w:sz="4" w:space="0" w:color="auto"/>
            </w:tcBorders>
            <w:shd w:val="clear" w:color="auto" w:fill="auto"/>
            <w:noWrap/>
          </w:tcPr>
          <w:p w14:paraId="7C7E9DCA" w14:textId="565FA7AA"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207838A2" w14:textId="2EB0098A" w:rsidR="00F57ABD" w:rsidRDefault="00F57ABD" w:rsidP="00F57ABD">
            <w:pPr>
              <w:widowControl/>
              <w:jc w:val="center"/>
              <w:rPr>
                <w:rFonts w:ascii="宋体" w:hAnsi="宋体" w:cs="宋体"/>
                <w:color w:val="000000"/>
                <w:kern w:val="0"/>
                <w:sz w:val="24"/>
              </w:rPr>
            </w:pPr>
            <w:r w:rsidRPr="00141265">
              <w:t>2022-03-09</w:t>
            </w:r>
          </w:p>
        </w:tc>
      </w:tr>
      <w:tr w:rsidR="00F57ABD" w14:paraId="76A0D8E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FA78C6C" w14:textId="66D06930"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48</w:t>
            </w:r>
          </w:p>
        </w:tc>
        <w:tc>
          <w:tcPr>
            <w:tcW w:w="7726" w:type="dxa"/>
            <w:tcBorders>
              <w:top w:val="nil"/>
              <w:left w:val="nil"/>
              <w:bottom w:val="single" w:sz="4" w:space="0" w:color="auto"/>
              <w:right w:val="single" w:sz="4" w:space="0" w:color="auto"/>
            </w:tcBorders>
            <w:shd w:val="clear" w:color="auto" w:fill="auto"/>
            <w:noWrap/>
          </w:tcPr>
          <w:p w14:paraId="59C2FCE6" w14:textId="4249CC0A"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286CF286" w14:textId="24257A32" w:rsidR="00F57ABD" w:rsidRDefault="00F57ABD" w:rsidP="00F57ABD">
            <w:pPr>
              <w:widowControl/>
              <w:jc w:val="center"/>
              <w:rPr>
                <w:rFonts w:ascii="宋体" w:hAnsi="宋体" w:cs="宋体"/>
                <w:color w:val="000000"/>
                <w:kern w:val="0"/>
                <w:sz w:val="24"/>
              </w:rPr>
            </w:pPr>
            <w:r w:rsidRPr="00141265">
              <w:t>2022-03-08</w:t>
            </w:r>
          </w:p>
        </w:tc>
      </w:tr>
      <w:tr w:rsidR="00F57ABD" w14:paraId="0B4D350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3AD9758" w14:textId="64605643"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49</w:t>
            </w:r>
          </w:p>
        </w:tc>
        <w:tc>
          <w:tcPr>
            <w:tcW w:w="7726" w:type="dxa"/>
            <w:tcBorders>
              <w:top w:val="nil"/>
              <w:left w:val="nil"/>
              <w:bottom w:val="single" w:sz="4" w:space="0" w:color="auto"/>
              <w:right w:val="single" w:sz="4" w:space="0" w:color="auto"/>
            </w:tcBorders>
            <w:shd w:val="clear" w:color="auto" w:fill="auto"/>
            <w:noWrap/>
          </w:tcPr>
          <w:p w14:paraId="0593CFD5" w14:textId="2302FB99"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1298CF16" w14:textId="368121A4" w:rsidR="00F57ABD" w:rsidRDefault="00F57ABD" w:rsidP="00F57ABD">
            <w:pPr>
              <w:widowControl/>
              <w:jc w:val="center"/>
              <w:rPr>
                <w:rFonts w:ascii="宋体" w:hAnsi="宋体" w:cs="宋体"/>
                <w:color w:val="000000"/>
                <w:kern w:val="0"/>
                <w:sz w:val="24"/>
              </w:rPr>
            </w:pPr>
            <w:r w:rsidRPr="00141265">
              <w:t>2022-02-12</w:t>
            </w:r>
          </w:p>
        </w:tc>
      </w:tr>
      <w:tr w:rsidR="00F57ABD" w14:paraId="1605653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BF7B2DF" w14:textId="5EDA43E5"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50</w:t>
            </w:r>
          </w:p>
        </w:tc>
        <w:tc>
          <w:tcPr>
            <w:tcW w:w="7726" w:type="dxa"/>
            <w:tcBorders>
              <w:top w:val="nil"/>
              <w:left w:val="nil"/>
              <w:bottom w:val="single" w:sz="4" w:space="0" w:color="auto"/>
              <w:right w:val="single" w:sz="4" w:space="0" w:color="auto"/>
            </w:tcBorders>
            <w:shd w:val="clear" w:color="auto" w:fill="auto"/>
            <w:noWrap/>
          </w:tcPr>
          <w:p w14:paraId="5895D560" w14:textId="424AC315"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朱雀基金管理有限公司关于旗下部分基金在直销渠道开展费率优惠活动的公告</w:t>
            </w:r>
          </w:p>
        </w:tc>
        <w:tc>
          <w:tcPr>
            <w:tcW w:w="1630" w:type="dxa"/>
            <w:tcBorders>
              <w:top w:val="nil"/>
              <w:left w:val="nil"/>
              <w:bottom w:val="single" w:sz="4" w:space="0" w:color="auto"/>
              <w:right w:val="single" w:sz="4" w:space="0" w:color="auto"/>
            </w:tcBorders>
            <w:shd w:val="clear" w:color="auto" w:fill="auto"/>
            <w:noWrap/>
          </w:tcPr>
          <w:p w14:paraId="07279ED7" w14:textId="492AD678" w:rsidR="00F57ABD" w:rsidRDefault="00F57ABD" w:rsidP="00F57ABD">
            <w:pPr>
              <w:widowControl/>
              <w:jc w:val="center"/>
              <w:rPr>
                <w:rFonts w:ascii="宋体" w:hAnsi="宋体" w:cs="宋体"/>
                <w:color w:val="000000"/>
                <w:kern w:val="0"/>
                <w:sz w:val="24"/>
              </w:rPr>
            </w:pPr>
            <w:r w:rsidRPr="00141265">
              <w:t>2022-02-08</w:t>
            </w:r>
          </w:p>
        </w:tc>
      </w:tr>
      <w:tr w:rsidR="00F57ABD" w14:paraId="7C3B470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808B0EA" w14:textId="766B962F"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51</w:t>
            </w:r>
          </w:p>
        </w:tc>
        <w:tc>
          <w:tcPr>
            <w:tcW w:w="7726" w:type="dxa"/>
            <w:tcBorders>
              <w:top w:val="nil"/>
              <w:left w:val="nil"/>
              <w:bottom w:val="single" w:sz="4" w:space="0" w:color="auto"/>
              <w:right w:val="single" w:sz="4" w:space="0" w:color="auto"/>
            </w:tcBorders>
            <w:shd w:val="clear" w:color="auto" w:fill="auto"/>
            <w:noWrap/>
          </w:tcPr>
          <w:p w14:paraId="3077FB38" w14:textId="6397AEAA"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朱雀基金管理有限公司关于旗下部分基金参加部分机构费率优惠活动的公告</w:t>
            </w:r>
          </w:p>
        </w:tc>
        <w:tc>
          <w:tcPr>
            <w:tcW w:w="1630" w:type="dxa"/>
            <w:tcBorders>
              <w:top w:val="nil"/>
              <w:left w:val="nil"/>
              <w:bottom w:val="single" w:sz="4" w:space="0" w:color="auto"/>
              <w:right w:val="single" w:sz="4" w:space="0" w:color="auto"/>
            </w:tcBorders>
            <w:shd w:val="clear" w:color="auto" w:fill="auto"/>
            <w:noWrap/>
          </w:tcPr>
          <w:p w14:paraId="05ED50A4" w14:textId="4D14A219" w:rsidR="00F57ABD" w:rsidRDefault="00F57ABD" w:rsidP="00F57ABD">
            <w:pPr>
              <w:widowControl/>
              <w:jc w:val="center"/>
              <w:rPr>
                <w:rFonts w:ascii="宋体" w:hAnsi="宋体" w:cs="宋体"/>
                <w:color w:val="000000"/>
                <w:kern w:val="0"/>
                <w:sz w:val="24"/>
              </w:rPr>
            </w:pPr>
            <w:r w:rsidRPr="00141265">
              <w:t>2022-01-27</w:t>
            </w:r>
          </w:p>
        </w:tc>
      </w:tr>
      <w:tr w:rsidR="00F57ABD" w14:paraId="1B18FA2A"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9206170" w14:textId="186D7BCB"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52</w:t>
            </w:r>
          </w:p>
        </w:tc>
        <w:tc>
          <w:tcPr>
            <w:tcW w:w="7726" w:type="dxa"/>
            <w:tcBorders>
              <w:top w:val="nil"/>
              <w:left w:val="nil"/>
              <w:bottom w:val="single" w:sz="4" w:space="0" w:color="auto"/>
              <w:right w:val="single" w:sz="4" w:space="0" w:color="auto"/>
            </w:tcBorders>
            <w:shd w:val="clear" w:color="auto" w:fill="auto"/>
            <w:noWrap/>
          </w:tcPr>
          <w:p w14:paraId="3A46B844" w14:textId="2EA8E5E5"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4617D37B" w14:textId="20884D46" w:rsidR="00F57ABD" w:rsidRDefault="00F57ABD" w:rsidP="00F57ABD">
            <w:pPr>
              <w:widowControl/>
              <w:jc w:val="center"/>
              <w:rPr>
                <w:rFonts w:ascii="宋体" w:hAnsi="宋体" w:cs="宋体"/>
                <w:color w:val="000000"/>
                <w:kern w:val="0"/>
                <w:sz w:val="24"/>
              </w:rPr>
            </w:pPr>
            <w:r w:rsidRPr="00141265">
              <w:t>2022-01-21</w:t>
            </w:r>
          </w:p>
        </w:tc>
      </w:tr>
      <w:tr w:rsidR="00F57ABD" w14:paraId="39063B7F"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841E6FD" w14:textId="3B32D1D2"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53</w:t>
            </w:r>
          </w:p>
        </w:tc>
        <w:tc>
          <w:tcPr>
            <w:tcW w:w="7726" w:type="dxa"/>
            <w:tcBorders>
              <w:top w:val="nil"/>
              <w:left w:val="nil"/>
              <w:bottom w:val="single" w:sz="4" w:space="0" w:color="auto"/>
              <w:right w:val="single" w:sz="4" w:space="0" w:color="auto"/>
            </w:tcBorders>
            <w:shd w:val="clear" w:color="auto" w:fill="auto"/>
            <w:noWrap/>
          </w:tcPr>
          <w:p w14:paraId="03474790" w14:textId="319B8FD0"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60911602" w14:textId="37E8ED8A" w:rsidR="00F57ABD" w:rsidRDefault="00F57ABD" w:rsidP="00F57ABD">
            <w:pPr>
              <w:widowControl/>
              <w:jc w:val="center"/>
              <w:rPr>
                <w:rFonts w:ascii="宋体" w:hAnsi="宋体" w:cs="宋体"/>
                <w:color w:val="000000"/>
                <w:kern w:val="0"/>
                <w:sz w:val="24"/>
              </w:rPr>
            </w:pPr>
            <w:r w:rsidRPr="00141265">
              <w:t>2022-01-19</w:t>
            </w:r>
          </w:p>
        </w:tc>
      </w:tr>
      <w:tr w:rsidR="00F57ABD" w14:paraId="7A741D3C"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F254FC7" w14:textId="27A82C2C"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54</w:t>
            </w:r>
          </w:p>
        </w:tc>
        <w:tc>
          <w:tcPr>
            <w:tcW w:w="7726" w:type="dxa"/>
            <w:tcBorders>
              <w:top w:val="nil"/>
              <w:left w:val="nil"/>
              <w:bottom w:val="single" w:sz="4" w:space="0" w:color="auto"/>
              <w:right w:val="single" w:sz="4" w:space="0" w:color="auto"/>
            </w:tcBorders>
            <w:shd w:val="clear" w:color="auto" w:fill="auto"/>
            <w:noWrap/>
          </w:tcPr>
          <w:p w14:paraId="15725A90" w14:textId="60E71CB8"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w:t>
            </w:r>
            <w:r w:rsidRPr="0089403A">
              <w:rPr>
                <w:rFonts w:hint="eastAsia"/>
              </w:rPr>
              <w:t>2021</w:t>
            </w:r>
            <w:r w:rsidRPr="0089403A">
              <w:rPr>
                <w:rFonts w:hint="eastAsia"/>
              </w:rPr>
              <w:t>年岁末及</w:t>
            </w:r>
            <w:r w:rsidRPr="0089403A">
              <w:rPr>
                <w:rFonts w:hint="eastAsia"/>
              </w:rPr>
              <w:t xml:space="preserve"> 2022 </w:t>
            </w:r>
            <w:r w:rsidRPr="0089403A">
              <w:rPr>
                <w:rFonts w:hint="eastAsia"/>
              </w:rPr>
              <w:t>年非港股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5F0914E9" w14:textId="1D459D68" w:rsidR="00F57ABD" w:rsidRDefault="00F57ABD" w:rsidP="00F57ABD">
            <w:pPr>
              <w:widowControl/>
              <w:jc w:val="center"/>
              <w:rPr>
                <w:rFonts w:ascii="宋体" w:hAnsi="宋体" w:cs="宋体"/>
                <w:color w:val="000000"/>
                <w:kern w:val="0"/>
                <w:sz w:val="24"/>
              </w:rPr>
            </w:pPr>
            <w:r w:rsidRPr="00141265">
              <w:t>2021-12-25</w:t>
            </w:r>
          </w:p>
        </w:tc>
      </w:tr>
      <w:tr w:rsidR="00F57ABD" w14:paraId="50489309"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3928AE5" w14:textId="79B36760"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lastRenderedPageBreak/>
              <w:t>55</w:t>
            </w:r>
          </w:p>
        </w:tc>
        <w:tc>
          <w:tcPr>
            <w:tcW w:w="7726" w:type="dxa"/>
            <w:tcBorders>
              <w:top w:val="nil"/>
              <w:left w:val="nil"/>
              <w:bottom w:val="single" w:sz="4" w:space="0" w:color="auto"/>
              <w:right w:val="single" w:sz="4" w:space="0" w:color="auto"/>
            </w:tcBorders>
            <w:shd w:val="clear" w:color="auto" w:fill="auto"/>
            <w:noWrap/>
          </w:tcPr>
          <w:p w14:paraId="37E75606" w14:textId="23D6ABCB"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40DBEE0F" w14:textId="7D895ED0" w:rsidR="00F57ABD" w:rsidRDefault="00F57ABD" w:rsidP="00F57ABD">
            <w:pPr>
              <w:widowControl/>
              <w:jc w:val="center"/>
              <w:rPr>
                <w:rFonts w:ascii="宋体" w:hAnsi="宋体" w:cs="宋体"/>
                <w:color w:val="000000"/>
                <w:kern w:val="0"/>
                <w:sz w:val="24"/>
              </w:rPr>
            </w:pPr>
            <w:r w:rsidRPr="00141265">
              <w:t>2021-12-15</w:t>
            </w:r>
          </w:p>
        </w:tc>
      </w:tr>
      <w:tr w:rsidR="00F57ABD" w14:paraId="26E22090"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B3D9518" w14:textId="7291D472"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56</w:t>
            </w:r>
          </w:p>
        </w:tc>
        <w:tc>
          <w:tcPr>
            <w:tcW w:w="7726" w:type="dxa"/>
            <w:tcBorders>
              <w:top w:val="nil"/>
              <w:left w:val="nil"/>
              <w:bottom w:val="single" w:sz="4" w:space="0" w:color="auto"/>
              <w:right w:val="single" w:sz="4" w:space="0" w:color="auto"/>
            </w:tcBorders>
            <w:shd w:val="clear" w:color="auto" w:fill="auto"/>
            <w:noWrap/>
          </w:tcPr>
          <w:p w14:paraId="548D5E82" w14:textId="24B36B25"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4E6F822F" w14:textId="122222CA" w:rsidR="00F57ABD" w:rsidRDefault="00F57ABD" w:rsidP="00F57ABD">
            <w:pPr>
              <w:widowControl/>
              <w:jc w:val="center"/>
              <w:rPr>
                <w:rFonts w:ascii="宋体" w:hAnsi="宋体" w:cs="宋体"/>
                <w:color w:val="000000"/>
                <w:kern w:val="0"/>
                <w:sz w:val="24"/>
              </w:rPr>
            </w:pPr>
            <w:r w:rsidRPr="00141265">
              <w:t>2021-12-14</w:t>
            </w:r>
          </w:p>
        </w:tc>
      </w:tr>
      <w:tr w:rsidR="00F57ABD" w14:paraId="2D723402"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C0805D6" w14:textId="5F8FFBF1"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57</w:t>
            </w:r>
          </w:p>
        </w:tc>
        <w:tc>
          <w:tcPr>
            <w:tcW w:w="7726" w:type="dxa"/>
            <w:tcBorders>
              <w:top w:val="nil"/>
              <w:left w:val="nil"/>
              <w:bottom w:val="single" w:sz="4" w:space="0" w:color="auto"/>
              <w:right w:val="single" w:sz="4" w:space="0" w:color="auto"/>
            </w:tcBorders>
            <w:shd w:val="clear" w:color="auto" w:fill="auto"/>
            <w:noWrap/>
          </w:tcPr>
          <w:p w14:paraId="6AD4AE31" w14:textId="5B48C65E"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2021</w:t>
            </w:r>
            <w:r w:rsidRPr="0089403A">
              <w:rPr>
                <w:rFonts w:hint="eastAsia"/>
              </w:rPr>
              <w:t>年经理变更公告</w:t>
            </w:r>
          </w:p>
        </w:tc>
        <w:tc>
          <w:tcPr>
            <w:tcW w:w="1630" w:type="dxa"/>
            <w:tcBorders>
              <w:top w:val="nil"/>
              <w:left w:val="nil"/>
              <w:bottom w:val="single" w:sz="4" w:space="0" w:color="auto"/>
              <w:right w:val="single" w:sz="4" w:space="0" w:color="auto"/>
            </w:tcBorders>
            <w:shd w:val="clear" w:color="auto" w:fill="auto"/>
            <w:noWrap/>
          </w:tcPr>
          <w:p w14:paraId="7C2B8AA1" w14:textId="11EEF78B" w:rsidR="00F57ABD" w:rsidRDefault="00F57ABD" w:rsidP="00F57ABD">
            <w:pPr>
              <w:widowControl/>
              <w:jc w:val="center"/>
              <w:rPr>
                <w:rFonts w:ascii="宋体" w:hAnsi="宋体" w:cs="宋体"/>
                <w:color w:val="000000"/>
                <w:kern w:val="0"/>
                <w:sz w:val="24"/>
              </w:rPr>
            </w:pPr>
            <w:r w:rsidRPr="00141265">
              <w:t>2021-12-09</w:t>
            </w:r>
          </w:p>
        </w:tc>
      </w:tr>
      <w:tr w:rsidR="00F57ABD" w14:paraId="6A39641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141EB66" w14:textId="31C1475C"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58</w:t>
            </w:r>
          </w:p>
        </w:tc>
        <w:tc>
          <w:tcPr>
            <w:tcW w:w="7726" w:type="dxa"/>
            <w:tcBorders>
              <w:top w:val="nil"/>
              <w:left w:val="nil"/>
              <w:bottom w:val="single" w:sz="4" w:space="0" w:color="auto"/>
              <w:right w:val="single" w:sz="4" w:space="0" w:color="auto"/>
            </w:tcBorders>
            <w:shd w:val="clear" w:color="auto" w:fill="auto"/>
            <w:noWrap/>
          </w:tcPr>
          <w:p w14:paraId="28F06426" w14:textId="38D2AE3C"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293ED335" w14:textId="05730EB0" w:rsidR="00F57ABD" w:rsidRDefault="00F57ABD" w:rsidP="00F57ABD">
            <w:pPr>
              <w:widowControl/>
              <w:jc w:val="center"/>
              <w:rPr>
                <w:rFonts w:ascii="宋体" w:hAnsi="宋体" w:cs="宋体"/>
                <w:color w:val="000000"/>
                <w:kern w:val="0"/>
                <w:sz w:val="24"/>
              </w:rPr>
            </w:pPr>
            <w:r w:rsidRPr="00141265">
              <w:t>2021-11-26</w:t>
            </w:r>
          </w:p>
        </w:tc>
      </w:tr>
      <w:tr w:rsidR="00F57ABD" w14:paraId="2DA4CA4A"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6C14C93" w14:textId="5EDB6318"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59</w:t>
            </w:r>
          </w:p>
        </w:tc>
        <w:tc>
          <w:tcPr>
            <w:tcW w:w="7726" w:type="dxa"/>
            <w:tcBorders>
              <w:top w:val="nil"/>
              <w:left w:val="nil"/>
              <w:bottom w:val="single" w:sz="4" w:space="0" w:color="auto"/>
              <w:right w:val="single" w:sz="4" w:space="0" w:color="auto"/>
            </w:tcBorders>
            <w:shd w:val="clear" w:color="auto" w:fill="auto"/>
            <w:noWrap/>
          </w:tcPr>
          <w:p w14:paraId="30A3802A" w14:textId="71B26352" w:rsidR="00F57ABD" w:rsidRDefault="00F57ABD" w:rsidP="00F57ABD">
            <w:pPr>
              <w:widowControl/>
              <w:jc w:val="left"/>
              <w:rPr>
                <w:rFonts w:ascii="宋体" w:hAnsi="宋体" w:cs="宋体"/>
                <w:color w:val="000000"/>
                <w:kern w:val="0"/>
                <w:sz w:val="24"/>
              </w:rPr>
            </w:pPr>
            <w:r w:rsidRPr="0089403A">
              <w:rPr>
                <w:rFonts w:hint="eastAsia"/>
              </w:rPr>
              <w:t>朱雀部分公</w:t>
            </w:r>
            <w:proofErr w:type="gramStart"/>
            <w:r w:rsidRPr="0089403A">
              <w:rPr>
                <w:rFonts w:hint="eastAsia"/>
              </w:rPr>
              <w:t>募基金</w:t>
            </w:r>
            <w:proofErr w:type="gramEnd"/>
            <w:r w:rsidRPr="0089403A">
              <w:rPr>
                <w:rFonts w:hint="eastAsia"/>
              </w:rPr>
              <w:t>2021</w:t>
            </w:r>
            <w:r w:rsidRPr="0089403A">
              <w:rPr>
                <w:rFonts w:hint="eastAsia"/>
              </w:rPr>
              <w:t>年</w:t>
            </w:r>
            <w:r w:rsidRPr="0089403A">
              <w:rPr>
                <w:rFonts w:hint="eastAsia"/>
              </w:rPr>
              <w:t>10</w:t>
            </w:r>
            <w:r w:rsidRPr="0089403A">
              <w:rPr>
                <w:rFonts w:hint="eastAsia"/>
              </w:rPr>
              <w:t>月</w:t>
            </w:r>
            <w:r w:rsidRPr="0089403A">
              <w:rPr>
                <w:rFonts w:hint="eastAsia"/>
              </w:rPr>
              <w:t>13</w:t>
            </w:r>
            <w:r w:rsidRPr="0089403A">
              <w:rPr>
                <w:rFonts w:hint="eastAsia"/>
              </w:rPr>
              <w:t>日非港</w:t>
            </w:r>
            <w:proofErr w:type="gramStart"/>
            <w:r w:rsidRPr="0089403A">
              <w:rPr>
                <w:rFonts w:hint="eastAsia"/>
              </w:rPr>
              <w:t>股通交</w:t>
            </w:r>
            <w:proofErr w:type="gramEnd"/>
            <w:r w:rsidRPr="0089403A">
              <w:rPr>
                <w:rFonts w:hint="eastAsia"/>
              </w:rPr>
              <w:t>易日暂停申购（含日常申购和定期定额投资）、赎回及转换业务安排的公告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0B78A028" w14:textId="63993A9F" w:rsidR="00F57ABD" w:rsidRDefault="00F57ABD" w:rsidP="00F57ABD">
            <w:pPr>
              <w:widowControl/>
              <w:jc w:val="center"/>
              <w:rPr>
                <w:rFonts w:ascii="宋体" w:hAnsi="宋体" w:cs="宋体"/>
                <w:color w:val="000000"/>
                <w:kern w:val="0"/>
                <w:sz w:val="24"/>
              </w:rPr>
            </w:pPr>
            <w:r w:rsidRPr="00141265">
              <w:t>2021-10-13</w:t>
            </w:r>
          </w:p>
        </w:tc>
      </w:tr>
      <w:tr w:rsidR="00F57ABD" w14:paraId="7AEBE952"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5F155B9" w14:textId="21758549"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60</w:t>
            </w:r>
          </w:p>
        </w:tc>
        <w:tc>
          <w:tcPr>
            <w:tcW w:w="7726" w:type="dxa"/>
            <w:tcBorders>
              <w:top w:val="nil"/>
              <w:left w:val="nil"/>
              <w:bottom w:val="single" w:sz="4" w:space="0" w:color="auto"/>
              <w:right w:val="single" w:sz="4" w:space="0" w:color="auto"/>
            </w:tcBorders>
            <w:shd w:val="clear" w:color="auto" w:fill="auto"/>
            <w:noWrap/>
          </w:tcPr>
          <w:p w14:paraId="36724FB5" w14:textId="044AB158"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5A68A0C1" w14:textId="4082231C" w:rsidR="00F57ABD" w:rsidRDefault="00F57ABD" w:rsidP="00F57ABD">
            <w:pPr>
              <w:widowControl/>
              <w:jc w:val="center"/>
              <w:rPr>
                <w:rFonts w:ascii="宋体" w:hAnsi="宋体" w:cs="宋体"/>
                <w:color w:val="000000"/>
                <w:kern w:val="0"/>
                <w:sz w:val="24"/>
              </w:rPr>
            </w:pPr>
            <w:r w:rsidRPr="00141265">
              <w:t>2021-10-09</w:t>
            </w:r>
          </w:p>
        </w:tc>
      </w:tr>
      <w:tr w:rsidR="00F57ABD" w14:paraId="157C7C6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762ED7E" w14:textId="3486F4C6"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61</w:t>
            </w:r>
          </w:p>
        </w:tc>
        <w:tc>
          <w:tcPr>
            <w:tcW w:w="7726" w:type="dxa"/>
            <w:tcBorders>
              <w:top w:val="nil"/>
              <w:left w:val="nil"/>
              <w:bottom w:val="single" w:sz="4" w:space="0" w:color="auto"/>
              <w:right w:val="single" w:sz="4" w:space="0" w:color="auto"/>
            </w:tcBorders>
            <w:shd w:val="clear" w:color="auto" w:fill="auto"/>
            <w:noWrap/>
          </w:tcPr>
          <w:p w14:paraId="393DDA9C" w14:textId="4BE91FD8"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14F8525D" w14:textId="497779BC" w:rsidR="00F57ABD" w:rsidRDefault="00F57ABD" w:rsidP="00F57ABD">
            <w:pPr>
              <w:widowControl/>
              <w:jc w:val="center"/>
              <w:rPr>
                <w:rFonts w:ascii="宋体" w:hAnsi="宋体" w:cs="宋体"/>
                <w:color w:val="000000"/>
                <w:kern w:val="0"/>
                <w:sz w:val="24"/>
              </w:rPr>
            </w:pPr>
            <w:r w:rsidRPr="00141265">
              <w:t>2021-10-01</w:t>
            </w:r>
          </w:p>
        </w:tc>
      </w:tr>
      <w:tr w:rsidR="00F57ABD" w14:paraId="07A967F0"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3BD1AE3" w14:textId="38690CB3"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62</w:t>
            </w:r>
          </w:p>
        </w:tc>
        <w:tc>
          <w:tcPr>
            <w:tcW w:w="7726" w:type="dxa"/>
            <w:tcBorders>
              <w:top w:val="nil"/>
              <w:left w:val="nil"/>
              <w:bottom w:val="single" w:sz="4" w:space="0" w:color="auto"/>
              <w:right w:val="single" w:sz="4" w:space="0" w:color="auto"/>
            </w:tcBorders>
            <w:shd w:val="clear" w:color="auto" w:fill="auto"/>
            <w:noWrap/>
          </w:tcPr>
          <w:p w14:paraId="68BD5B64" w14:textId="0DD5A41C"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w:t>
            </w:r>
            <w:r w:rsidRPr="0089403A">
              <w:rPr>
                <w:rFonts w:hint="eastAsia"/>
              </w:rPr>
              <w:t xml:space="preserve"> 2021 </w:t>
            </w:r>
            <w:r w:rsidRPr="0089403A">
              <w:rPr>
                <w:rFonts w:hint="eastAsia"/>
              </w:rPr>
              <w:t>年</w:t>
            </w:r>
            <w:r w:rsidRPr="0089403A">
              <w:rPr>
                <w:rFonts w:hint="eastAsia"/>
              </w:rPr>
              <w:t>9</w:t>
            </w:r>
            <w:r w:rsidRPr="0089403A">
              <w:rPr>
                <w:rFonts w:hint="eastAsia"/>
              </w:rPr>
              <w:t>月</w:t>
            </w:r>
            <w:r w:rsidRPr="0089403A">
              <w:rPr>
                <w:rFonts w:hint="eastAsia"/>
              </w:rPr>
              <w:t>-2021</w:t>
            </w:r>
            <w:r w:rsidRPr="0089403A">
              <w:rPr>
                <w:rFonts w:hint="eastAsia"/>
              </w:rPr>
              <w:t>年</w:t>
            </w:r>
            <w:r w:rsidRPr="0089403A">
              <w:rPr>
                <w:rFonts w:hint="eastAsia"/>
              </w:rPr>
              <w:t>12</w:t>
            </w:r>
            <w:r w:rsidRPr="0089403A">
              <w:rPr>
                <w:rFonts w:hint="eastAsia"/>
              </w:rPr>
              <w:t>月非港股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4367FEDE" w14:textId="58057FB7" w:rsidR="00F57ABD" w:rsidRDefault="00F57ABD" w:rsidP="00F57ABD">
            <w:pPr>
              <w:widowControl/>
              <w:jc w:val="center"/>
              <w:rPr>
                <w:rFonts w:ascii="宋体" w:hAnsi="宋体" w:cs="宋体"/>
                <w:color w:val="000000"/>
                <w:kern w:val="0"/>
                <w:sz w:val="24"/>
              </w:rPr>
            </w:pPr>
            <w:r w:rsidRPr="00141265">
              <w:t>2021-09-16</w:t>
            </w:r>
          </w:p>
        </w:tc>
      </w:tr>
      <w:tr w:rsidR="00F57ABD" w14:paraId="401456B9"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9051B23" w14:textId="3118EE6B"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63</w:t>
            </w:r>
          </w:p>
        </w:tc>
        <w:tc>
          <w:tcPr>
            <w:tcW w:w="7726" w:type="dxa"/>
            <w:tcBorders>
              <w:top w:val="nil"/>
              <w:left w:val="nil"/>
              <w:bottom w:val="single" w:sz="4" w:space="0" w:color="auto"/>
              <w:right w:val="single" w:sz="4" w:space="0" w:color="auto"/>
            </w:tcBorders>
            <w:shd w:val="clear" w:color="auto" w:fill="auto"/>
            <w:noWrap/>
          </w:tcPr>
          <w:p w14:paraId="23EEC2FE" w14:textId="62121F5A"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19BB435F" w14:textId="6C49AC44" w:rsidR="00F57ABD" w:rsidRDefault="00F57ABD" w:rsidP="00F57ABD">
            <w:pPr>
              <w:widowControl/>
              <w:jc w:val="center"/>
              <w:rPr>
                <w:rFonts w:ascii="宋体" w:hAnsi="宋体" w:cs="宋体"/>
                <w:color w:val="000000"/>
                <w:kern w:val="0"/>
                <w:sz w:val="24"/>
              </w:rPr>
            </w:pPr>
            <w:r w:rsidRPr="00141265">
              <w:t>2021-09-11</w:t>
            </w:r>
          </w:p>
        </w:tc>
      </w:tr>
      <w:tr w:rsidR="00F57ABD" w14:paraId="1F82B9E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74FCE6C" w14:textId="247F4BF9"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64</w:t>
            </w:r>
          </w:p>
        </w:tc>
        <w:tc>
          <w:tcPr>
            <w:tcW w:w="7726" w:type="dxa"/>
            <w:tcBorders>
              <w:top w:val="nil"/>
              <w:left w:val="nil"/>
              <w:bottom w:val="single" w:sz="4" w:space="0" w:color="auto"/>
              <w:right w:val="single" w:sz="4" w:space="0" w:color="auto"/>
            </w:tcBorders>
            <w:shd w:val="clear" w:color="auto" w:fill="auto"/>
            <w:noWrap/>
          </w:tcPr>
          <w:p w14:paraId="7BAEEF8E" w14:textId="6BE318CB" w:rsidR="00F57ABD" w:rsidRDefault="00F57ABD" w:rsidP="00F57ABD">
            <w:pPr>
              <w:widowControl/>
              <w:jc w:val="left"/>
              <w:rPr>
                <w:rFonts w:ascii="宋体" w:hAnsi="宋体" w:cs="宋体"/>
                <w:color w:val="000000"/>
                <w:kern w:val="0"/>
                <w:sz w:val="24"/>
              </w:rPr>
            </w:pPr>
            <w:r w:rsidRPr="0089403A">
              <w:rPr>
                <w:rFonts w:hint="eastAsia"/>
              </w:rPr>
              <w:t>朱雀基金管理有限公司旗下全部基金</w:t>
            </w:r>
            <w:r w:rsidRPr="0089403A">
              <w:rPr>
                <w:rFonts w:hint="eastAsia"/>
              </w:rPr>
              <w:t>2021</w:t>
            </w:r>
            <w:r w:rsidRPr="0089403A">
              <w:rPr>
                <w:rFonts w:hint="eastAsia"/>
              </w:rPr>
              <w:t>年中期报告提示性公告</w:t>
            </w:r>
          </w:p>
        </w:tc>
        <w:tc>
          <w:tcPr>
            <w:tcW w:w="1630" w:type="dxa"/>
            <w:tcBorders>
              <w:top w:val="nil"/>
              <w:left w:val="nil"/>
              <w:bottom w:val="single" w:sz="4" w:space="0" w:color="auto"/>
              <w:right w:val="single" w:sz="4" w:space="0" w:color="auto"/>
            </w:tcBorders>
            <w:shd w:val="clear" w:color="auto" w:fill="auto"/>
            <w:noWrap/>
          </w:tcPr>
          <w:p w14:paraId="01291120" w14:textId="023B0B73" w:rsidR="00F57ABD" w:rsidRDefault="00F57ABD" w:rsidP="00F57ABD">
            <w:pPr>
              <w:widowControl/>
              <w:jc w:val="center"/>
              <w:rPr>
                <w:rFonts w:ascii="宋体" w:hAnsi="宋体" w:cs="宋体"/>
                <w:color w:val="000000"/>
                <w:kern w:val="0"/>
                <w:sz w:val="24"/>
              </w:rPr>
            </w:pPr>
            <w:r w:rsidRPr="00141265">
              <w:t>2021-08-26</w:t>
            </w:r>
          </w:p>
        </w:tc>
      </w:tr>
      <w:tr w:rsidR="00F57ABD" w14:paraId="5058DFD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5221B52" w14:textId="429265C6"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65</w:t>
            </w:r>
          </w:p>
        </w:tc>
        <w:tc>
          <w:tcPr>
            <w:tcW w:w="7726" w:type="dxa"/>
            <w:tcBorders>
              <w:top w:val="nil"/>
              <w:left w:val="nil"/>
              <w:bottom w:val="single" w:sz="4" w:space="0" w:color="auto"/>
              <w:right w:val="single" w:sz="4" w:space="0" w:color="auto"/>
            </w:tcBorders>
            <w:shd w:val="clear" w:color="auto" w:fill="auto"/>
            <w:noWrap/>
          </w:tcPr>
          <w:p w14:paraId="387F06AC" w14:textId="7529EB6B"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r w:rsidRPr="0089403A">
              <w:rPr>
                <w:rFonts w:hint="eastAsia"/>
              </w:rPr>
              <w:t>-20210818</w:t>
            </w:r>
          </w:p>
        </w:tc>
        <w:tc>
          <w:tcPr>
            <w:tcW w:w="1630" w:type="dxa"/>
            <w:tcBorders>
              <w:top w:val="nil"/>
              <w:left w:val="nil"/>
              <w:bottom w:val="single" w:sz="4" w:space="0" w:color="auto"/>
              <w:right w:val="single" w:sz="4" w:space="0" w:color="auto"/>
            </w:tcBorders>
            <w:shd w:val="clear" w:color="auto" w:fill="auto"/>
            <w:noWrap/>
          </w:tcPr>
          <w:p w14:paraId="7C2FC9AD" w14:textId="64396C0B" w:rsidR="00F57ABD" w:rsidRDefault="00F57ABD" w:rsidP="00F57ABD">
            <w:pPr>
              <w:widowControl/>
              <w:jc w:val="center"/>
              <w:rPr>
                <w:rFonts w:ascii="宋体" w:hAnsi="宋体" w:cs="宋体"/>
                <w:color w:val="000000"/>
                <w:kern w:val="0"/>
                <w:sz w:val="24"/>
              </w:rPr>
            </w:pPr>
            <w:r w:rsidRPr="00141265">
              <w:t>2021-08-19</w:t>
            </w:r>
          </w:p>
        </w:tc>
      </w:tr>
      <w:tr w:rsidR="00F57ABD" w14:paraId="37CE7763"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C902DD1" w14:textId="0557405D"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66</w:t>
            </w:r>
          </w:p>
        </w:tc>
        <w:tc>
          <w:tcPr>
            <w:tcW w:w="7726" w:type="dxa"/>
            <w:tcBorders>
              <w:top w:val="nil"/>
              <w:left w:val="nil"/>
              <w:bottom w:val="single" w:sz="4" w:space="0" w:color="auto"/>
              <w:right w:val="single" w:sz="4" w:space="0" w:color="auto"/>
            </w:tcBorders>
            <w:shd w:val="clear" w:color="auto" w:fill="auto"/>
            <w:noWrap/>
          </w:tcPr>
          <w:p w14:paraId="423AAEA6" w14:textId="427E36FF"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r w:rsidRPr="0089403A">
              <w:rPr>
                <w:rFonts w:hint="eastAsia"/>
              </w:rPr>
              <w:t>-20210816</w:t>
            </w:r>
          </w:p>
        </w:tc>
        <w:tc>
          <w:tcPr>
            <w:tcW w:w="1630" w:type="dxa"/>
            <w:tcBorders>
              <w:top w:val="nil"/>
              <w:left w:val="nil"/>
              <w:bottom w:val="single" w:sz="4" w:space="0" w:color="auto"/>
              <w:right w:val="single" w:sz="4" w:space="0" w:color="auto"/>
            </w:tcBorders>
            <w:shd w:val="clear" w:color="auto" w:fill="auto"/>
            <w:noWrap/>
          </w:tcPr>
          <w:p w14:paraId="604AFCBB" w14:textId="7F10B6B7" w:rsidR="00F57ABD" w:rsidRDefault="00F57ABD" w:rsidP="00F57ABD">
            <w:pPr>
              <w:widowControl/>
              <w:jc w:val="center"/>
              <w:rPr>
                <w:rFonts w:ascii="宋体" w:hAnsi="宋体" w:cs="宋体"/>
                <w:color w:val="000000"/>
                <w:kern w:val="0"/>
                <w:sz w:val="24"/>
              </w:rPr>
            </w:pPr>
            <w:r w:rsidRPr="00141265">
              <w:t>2021-08-17</w:t>
            </w:r>
          </w:p>
        </w:tc>
      </w:tr>
      <w:tr w:rsidR="00F57ABD" w14:paraId="2C595B8B"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6C6E88F" w14:textId="7F4CE4A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67</w:t>
            </w:r>
          </w:p>
        </w:tc>
        <w:tc>
          <w:tcPr>
            <w:tcW w:w="7726" w:type="dxa"/>
            <w:tcBorders>
              <w:top w:val="nil"/>
              <w:left w:val="nil"/>
              <w:bottom w:val="single" w:sz="4" w:space="0" w:color="auto"/>
              <w:right w:val="single" w:sz="4" w:space="0" w:color="auto"/>
            </w:tcBorders>
            <w:shd w:val="clear" w:color="auto" w:fill="auto"/>
            <w:noWrap/>
          </w:tcPr>
          <w:p w14:paraId="17D47664" w14:textId="5C051CA2"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r w:rsidRPr="0089403A">
              <w:rPr>
                <w:rFonts w:hint="eastAsia"/>
              </w:rPr>
              <w:t>-20210810</w:t>
            </w:r>
          </w:p>
        </w:tc>
        <w:tc>
          <w:tcPr>
            <w:tcW w:w="1630" w:type="dxa"/>
            <w:tcBorders>
              <w:top w:val="nil"/>
              <w:left w:val="nil"/>
              <w:bottom w:val="single" w:sz="4" w:space="0" w:color="auto"/>
              <w:right w:val="single" w:sz="4" w:space="0" w:color="auto"/>
            </w:tcBorders>
            <w:shd w:val="clear" w:color="auto" w:fill="auto"/>
            <w:noWrap/>
          </w:tcPr>
          <w:p w14:paraId="4CCE95E5" w14:textId="4B286A49" w:rsidR="00F57ABD" w:rsidRDefault="00F57ABD" w:rsidP="00F57ABD">
            <w:pPr>
              <w:widowControl/>
              <w:jc w:val="center"/>
              <w:rPr>
                <w:rFonts w:ascii="宋体" w:hAnsi="宋体" w:cs="宋体"/>
                <w:color w:val="000000"/>
                <w:kern w:val="0"/>
                <w:sz w:val="24"/>
              </w:rPr>
            </w:pPr>
            <w:r w:rsidRPr="00141265">
              <w:t>2021-08-11</w:t>
            </w:r>
          </w:p>
        </w:tc>
      </w:tr>
      <w:tr w:rsidR="00F57ABD" w14:paraId="63E0BE9C"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B19A5CE" w14:textId="43EDF08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68</w:t>
            </w:r>
          </w:p>
        </w:tc>
        <w:tc>
          <w:tcPr>
            <w:tcW w:w="7726" w:type="dxa"/>
            <w:tcBorders>
              <w:top w:val="nil"/>
              <w:left w:val="nil"/>
              <w:bottom w:val="single" w:sz="4" w:space="0" w:color="auto"/>
              <w:right w:val="single" w:sz="4" w:space="0" w:color="auto"/>
            </w:tcBorders>
            <w:shd w:val="clear" w:color="auto" w:fill="auto"/>
            <w:noWrap/>
          </w:tcPr>
          <w:p w14:paraId="21FAC686" w14:textId="6CCBD3A8"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r w:rsidRPr="0089403A">
              <w:rPr>
                <w:rFonts w:hint="eastAsia"/>
              </w:rPr>
              <w:t>-20210806</w:t>
            </w:r>
          </w:p>
        </w:tc>
        <w:tc>
          <w:tcPr>
            <w:tcW w:w="1630" w:type="dxa"/>
            <w:tcBorders>
              <w:top w:val="nil"/>
              <w:left w:val="nil"/>
              <w:bottom w:val="single" w:sz="4" w:space="0" w:color="auto"/>
              <w:right w:val="single" w:sz="4" w:space="0" w:color="auto"/>
            </w:tcBorders>
            <w:shd w:val="clear" w:color="auto" w:fill="auto"/>
            <w:noWrap/>
          </w:tcPr>
          <w:p w14:paraId="2C9ED1BB" w14:textId="6283C326" w:rsidR="00F57ABD" w:rsidRDefault="00F57ABD" w:rsidP="00F57ABD">
            <w:pPr>
              <w:widowControl/>
              <w:jc w:val="center"/>
              <w:rPr>
                <w:rFonts w:ascii="宋体" w:hAnsi="宋体" w:cs="宋体"/>
                <w:color w:val="000000"/>
                <w:kern w:val="0"/>
                <w:sz w:val="24"/>
              </w:rPr>
            </w:pPr>
            <w:r w:rsidRPr="00141265">
              <w:t>2021-08-07</w:t>
            </w:r>
          </w:p>
        </w:tc>
      </w:tr>
      <w:tr w:rsidR="00F57ABD" w14:paraId="444025AE"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FFD520B" w14:textId="1A324F7B"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69</w:t>
            </w:r>
          </w:p>
        </w:tc>
        <w:tc>
          <w:tcPr>
            <w:tcW w:w="7726" w:type="dxa"/>
            <w:tcBorders>
              <w:top w:val="nil"/>
              <w:left w:val="nil"/>
              <w:bottom w:val="single" w:sz="4" w:space="0" w:color="auto"/>
              <w:right w:val="single" w:sz="4" w:space="0" w:color="auto"/>
            </w:tcBorders>
            <w:shd w:val="clear" w:color="auto" w:fill="auto"/>
            <w:noWrap/>
          </w:tcPr>
          <w:p w14:paraId="744154FF" w14:textId="2AD90205"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0966B526" w14:textId="622F3A67" w:rsidR="00F57ABD" w:rsidRDefault="00F57ABD" w:rsidP="00F57ABD">
            <w:pPr>
              <w:widowControl/>
              <w:jc w:val="center"/>
              <w:rPr>
                <w:rFonts w:ascii="宋体" w:hAnsi="宋体" w:cs="宋体"/>
                <w:color w:val="000000"/>
                <w:kern w:val="0"/>
                <w:sz w:val="24"/>
              </w:rPr>
            </w:pPr>
            <w:r w:rsidRPr="00141265">
              <w:t>2021-08-03</w:t>
            </w:r>
          </w:p>
        </w:tc>
      </w:tr>
      <w:tr w:rsidR="00F57ABD" w14:paraId="2016AC6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BF26ADC" w14:textId="171FD7A3"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70</w:t>
            </w:r>
          </w:p>
        </w:tc>
        <w:tc>
          <w:tcPr>
            <w:tcW w:w="7726" w:type="dxa"/>
            <w:tcBorders>
              <w:top w:val="nil"/>
              <w:left w:val="nil"/>
              <w:bottom w:val="single" w:sz="4" w:space="0" w:color="auto"/>
              <w:right w:val="single" w:sz="4" w:space="0" w:color="auto"/>
            </w:tcBorders>
            <w:shd w:val="clear" w:color="auto" w:fill="auto"/>
            <w:noWrap/>
          </w:tcPr>
          <w:p w14:paraId="4DFA7447" w14:textId="6566DEA0"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r w:rsidRPr="0089403A">
              <w:rPr>
                <w:rFonts w:hint="eastAsia"/>
              </w:rPr>
              <w:t>-20210730</w:t>
            </w:r>
          </w:p>
        </w:tc>
        <w:tc>
          <w:tcPr>
            <w:tcW w:w="1630" w:type="dxa"/>
            <w:tcBorders>
              <w:top w:val="nil"/>
              <w:left w:val="nil"/>
              <w:bottom w:val="single" w:sz="4" w:space="0" w:color="auto"/>
              <w:right w:val="single" w:sz="4" w:space="0" w:color="auto"/>
            </w:tcBorders>
            <w:shd w:val="clear" w:color="auto" w:fill="auto"/>
            <w:noWrap/>
          </w:tcPr>
          <w:p w14:paraId="1C4BB976" w14:textId="3677898D" w:rsidR="00F57ABD" w:rsidRDefault="00F57ABD" w:rsidP="00F57ABD">
            <w:pPr>
              <w:widowControl/>
              <w:jc w:val="center"/>
              <w:rPr>
                <w:rFonts w:ascii="宋体" w:hAnsi="宋体" w:cs="宋体"/>
                <w:color w:val="000000"/>
                <w:kern w:val="0"/>
                <w:sz w:val="24"/>
              </w:rPr>
            </w:pPr>
            <w:r w:rsidRPr="00141265">
              <w:t>2021-07-31</w:t>
            </w:r>
          </w:p>
        </w:tc>
      </w:tr>
      <w:tr w:rsidR="00F57ABD" w14:paraId="0736AC3C"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0E0984D" w14:textId="3BA0334D"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71</w:t>
            </w:r>
          </w:p>
        </w:tc>
        <w:tc>
          <w:tcPr>
            <w:tcW w:w="7726" w:type="dxa"/>
            <w:tcBorders>
              <w:top w:val="nil"/>
              <w:left w:val="nil"/>
              <w:bottom w:val="single" w:sz="4" w:space="0" w:color="auto"/>
              <w:right w:val="single" w:sz="4" w:space="0" w:color="auto"/>
            </w:tcBorders>
            <w:shd w:val="clear" w:color="auto" w:fill="auto"/>
            <w:noWrap/>
          </w:tcPr>
          <w:p w14:paraId="633F943E" w14:textId="3A2DB411"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选混合型证券投资基金买卖招商银行暨关联交易事项的公告</w:t>
            </w:r>
          </w:p>
        </w:tc>
        <w:tc>
          <w:tcPr>
            <w:tcW w:w="1630" w:type="dxa"/>
            <w:tcBorders>
              <w:top w:val="nil"/>
              <w:left w:val="nil"/>
              <w:bottom w:val="single" w:sz="4" w:space="0" w:color="auto"/>
              <w:right w:val="single" w:sz="4" w:space="0" w:color="auto"/>
            </w:tcBorders>
            <w:shd w:val="clear" w:color="auto" w:fill="auto"/>
            <w:noWrap/>
          </w:tcPr>
          <w:p w14:paraId="1926F94D" w14:textId="0661BF9B" w:rsidR="00F57ABD" w:rsidRDefault="00F57ABD" w:rsidP="00F57ABD">
            <w:pPr>
              <w:widowControl/>
              <w:jc w:val="center"/>
              <w:rPr>
                <w:rFonts w:ascii="宋体" w:hAnsi="宋体" w:cs="宋体"/>
                <w:color w:val="000000"/>
                <w:kern w:val="0"/>
                <w:sz w:val="24"/>
              </w:rPr>
            </w:pPr>
            <w:r w:rsidRPr="00141265">
              <w:t>2021-07-27</w:t>
            </w:r>
          </w:p>
        </w:tc>
      </w:tr>
      <w:tr w:rsidR="00F57ABD" w14:paraId="2F826FF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77A222F" w14:textId="0BDCD576"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72</w:t>
            </w:r>
          </w:p>
        </w:tc>
        <w:tc>
          <w:tcPr>
            <w:tcW w:w="7726" w:type="dxa"/>
            <w:tcBorders>
              <w:top w:val="nil"/>
              <w:left w:val="nil"/>
              <w:bottom w:val="single" w:sz="4" w:space="0" w:color="auto"/>
              <w:right w:val="single" w:sz="4" w:space="0" w:color="auto"/>
            </w:tcBorders>
            <w:shd w:val="clear" w:color="auto" w:fill="auto"/>
            <w:noWrap/>
          </w:tcPr>
          <w:p w14:paraId="037E3B3F" w14:textId="77819F36"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1CB38F05" w14:textId="42C5C1A5" w:rsidR="00F57ABD" w:rsidRDefault="00F57ABD" w:rsidP="00F57ABD">
            <w:pPr>
              <w:widowControl/>
              <w:jc w:val="center"/>
              <w:rPr>
                <w:rFonts w:ascii="宋体" w:hAnsi="宋体" w:cs="宋体"/>
                <w:color w:val="000000"/>
                <w:kern w:val="0"/>
                <w:sz w:val="24"/>
              </w:rPr>
            </w:pPr>
            <w:r w:rsidRPr="00141265">
              <w:t>2021-07-08</w:t>
            </w:r>
          </w:p>
        </w:tc>
      </w:tr>
      <w:tr w:rsidR="00F57ABD" w14:paraId="2EDE858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A0DEC3C" w14:textId="31F5C418"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73</w:t>
            </w:r>
          </w:p>
        </w:tc>
        <w:tc>
          <w:tcPr>
            <w:tcW w:w="7726" w:type="dxa"/>
            <w:tcBorders>
              <w:top w:val="nil"/>
              <w:left w:val="nil"/>
              <w:bottom w:val="single" w:sz="4" w:space="0" w:color="auto"/>
              <w:right w:val="single" w:sz="4" w:space="0" w:color="auto"/>
            </w:tcBorders>
            <w:shd w:val="clear" w:color="auto" w:fill="auto"/>
            <w:noWrap/>
          </w:tcPr>
          <w:p w14:paraId="432C98A8" w14:textId="76004A5D" w:rsidR="00F57ABD" w:rsidRDefault="00F57ABD" w:rsidP="00F57ABD">
            <w:pPr>
              <w:widowControl/>
              <w:jc w:val="left"/>
              <w:rPr>
                <w:rFonts w:ascii="宋体" w:hAnsi="宋体" w:cs="宋体"/>
                <w:color w:val="000000"/>
                <w:kern w:val="0"/>
                <w:sz w:val="24"/>
              </w:rPr>
            </w:pPr>
            <w:r w:rsidRPr="0089403A">
              <w:rPr>
                <w:rFonts w:hint="eastAsia"/>
              </w:rPr>
              <w:t>朱雀基金管理有限公司关于修订旗下证券投资</w:t>
            </w:r>
            <w:proofErr w:type="gramStart"/>
            <w:r w:rsidRPr="0089403A">
              <w:rPr>
                <w:rFonts w:hint="eastAsia"/>
              </w:rPr>
              <w:t>基金基金</w:t>
            </w:r>
            <w:proofErr w:type="gramEnd"/>
            <w:r w:rsidRPr="0089403A">
              <w:rPr>
                <w:rFonts w:hint="eastAsia"/>
              </w:rPr>
              <w:t>合同及托管协议的公告</w:t>
            </w:r>
          </w:p>
        </w:tc>
        <w:tc>
          <w:tcPr>
            <w:tcW w:w="1630" w:type="dxa"/>
            <w:tcBorders>
              <w:top w:val="nil"/>
              <w:left w:val="nil"/>
              <w:bottom w:val="single" w:sz="4" w:space="0" w:color="auto"/>
              <w:right w:val="single" w:sz="4" w:space="0" w:color="auto"/>
            </w:tcBorders>
            <w:shd w:val="clear" w:color="auto" w:fill="auto"/>
            <w:noWrap/>
          </w:tcPr>
          <w:p w14:paraId="20E93D39" w14:textId="0431B778" w:rsidR="00F57ABD" w:rsidRDefault="00F57ABD" w:rsidP="00F57ABD">
            <w:pPr>
              <w:widowControl/>
              <w:jc w:val="center"/>
              <w:rPr>
                <w:rFonts w:ascii="宋体" w:hAnsi="宋体" w:cs="宋体"/>
                <w:color w:val="000000"/>
                <w:kern w:val="0"/>
                <w:sz w:val="24"/>
              </w:rPr>
            </w:pPr>
            <w:r w:rsidRPr="00141265">
              <w:t>2021-06-23</w:t>
            </w:r>
          </w:p>
        </w:tc>
      </w:tr>
      <w:tr w:rsidR="00F57ABD" w14:paraId="413F2D83"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9B5735F" w14:textId="3C709759"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74</w:t>
            </w:r>
          </w:p>
        </w:tc>
        <w:tc>
          <w:tcPr>
            <w:tcW w:w="7726" w:type="dxa"/>
            <w:tcBorders>
              <w:top w:val="nil"/>
              <w:left w:val="nil"/>
              <w:bottom w:val="single" w:sz="4" w:space="0" w:color="auto"/>
              <w:right w:val="single" w:sz="4" w:space="0" w:color="auto"/>
            </w:tcBorders>
            <w:shd w:val="clear" w:color="auto" w:fill="auto"/>
            <w:noWrap/>
          </w:tcPr>
          <w:p w14:paraId="3117C97F" w14:textId="0861A819"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7899D9A3" w14:textId="257A7FA8" w:rsidR="00F57ABD" w:rsidRDefault="00F57ABD" w:rsidP="00F57ABD">
            <w:pPr>
              <w:widowControl/>
              <w:jc w:val="center"/>
              <w:rPr>
                <w:rFonts w:ascii="宋体" w:hAnsi="宋体" w:cs="宋体"/>
                <w:color w:val="000000"/>
                <w:kern w:val="0"/>
                <w:sz w:val="24"/>
              </w:rPr>
            </w:pPr>
            <w:r w:rsidRPr="00141265">
              <w:t>2021-04-28</w:t>
            </w:r>
          </w:p>
        </w:tc>
      </w:tr>
      <w:tr w:rsidR="00F57ABD" w14:paraId="2A47DD1B"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FC1D8A0" w14:textId="466B07E0"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75</w:t>
            </w:r>
          </w:p>
        </w:tc>
        <w:tc>
          <w:tcPr>
            <w:tcW w:w="7726" w:type="dxa"/>
            <w:tcBorders>
              <w:top w:val="nil"/>
              <w:left w:val="nil"/>
              <w:bottom w:val="single" w:sz="4" w:space="0" w:color="auto"/>
              <w:right w:val="single" w:sz="4" w:space="0" w:color="auto"/>
            </w:tcBorders>
            <w:shd w:val="clear" w:color="auto" w:fill="auto"/>
            <w:noWrap/>
          </w:tcPr>
          <w:p w14:paraId="3AA04A64" w14:textId="3951970A" w:rsidR="00F57ABD" w:rsidRDefault="00F57ABD" w:rsidP="00F57ABD">
            <w:pPr>
              <w:widowControl/>
              <w:jc w:val="left"/>
              <w:rPr>
                <w:rFonts w:ascii="宋体" w:hAnsi="宋体" w:cs="宋体"/>
                <w:color w:val="000000"/>
                <w:kern w:val="0"/>
                <w:sz w:val="24"/>
              </w:rPr>
            </w:pPr>
            <w:r w:rsidRPr="0089403A">
              <w:rPr>
                <w:rFonts w:hint="eastAsia"/>
              </w:rPr>
              <w:t>朱雀基金管理有限公司旗下部分基金</w:t>
            </w:r>
            <w:r w:rsidRPr="0089403A">
              <w:rPr>
                <w:rFonts w:hint="eastAsia"/>
              </w:rPr>
              <w:t>2020</w:t>
            </w:r>
            <w:r w:rsidRPr="0089403A">
              <w:rPr>
                <w:rFonts w:hint="eastAsia"/>
              </w:rPr>
              <w:t>年年度报告提示性公告</w:t>
            </w:r>
          </w:p>
        </w:tc>
        <w:tc>
          <w:tcPr>
            <w:tcW w:w="1630" w:type="dxa"/>
            <w:tcBorders>
              <w:top w:val="nil"/>
              <w:left w:val="nil"/>
              <w:bottom w:val="single" w:sz="4" w:space="0" w:color="auto"/>
              <w:right w:val="single" w:sz="4" w:space="0" w:color="auto"/>
            </w:tcBorders>
            <w:shd w:val="clear" w:color="auto" w:fill="auto"/>
            <w:noWrap/>
          </w:tcPr>
          <w:p w14:paraId="3252B71F" w14:textId="0A1C3167" w:rsidR="00F57ABD" w:rsidRDefault="00F57ABD" w:rsidP="00F57ABD">
            <w:pPr>
              <w:widowControl/>
              <w:jc w:val="center"/>
              <w:rPr>
                <w:rFonts w:ascii="宋体" w:hAnsi="宋体" w:cs="宋体"/>
                <w:color w:val="000000"/>
                <w:kern w:val="0"/>
                <w:sz w:val="24"/>
              </w:rPr>
            </w:pPr>
            <w:r w:rsidRPr="00141265">
              <w:t>2021-03-30</w:t>
            </w:r>
          </w:p>
        </w:tc>
      </w:tr>
      <w:tr w:rsidR="00F57ABD" w14:paraId="55D2601F"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1FA1B2B" w14:textId="1319EE5A"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76</w:t>
            </w:r>
          </w:p>
        </w:tc>
        <w:tc>
          <w:tcPr>
            <w:tcW w:w="7726" w:type="dxa"/>
            <w:tcBorders>
              <w:top w:val="nil"/>
              <w:left w:val="nil"/>
              <w:bottom w:val="single" w:sz="4" w:space="0" w:color="auto"/>
              <w:right w:val="single" w:sz="4" w:space="0" w:color="auto"/>
            </w:tcBorders>
            <w:shd w:val="clear" w:color="auto" w:fill="auto"/>
            <w:noWrap/>
          </w:tcPr>
          <w:p w14:paraId="12F1099B" w14:textId="72B71F5C"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朱雀基金管理有限公司关于旗下朱雀产业</w:t>
            </w:r>
            <w:proofErr w:type="gramStart"/>
            <w:r w:rsidRPr="0089403A">
              <w:rPr>
                <w:rFonts w:hint="eastAsia"/>
              </w:rPr>
              <w:t>臻</w:t>
            </w:r>
            <w:proofErr w:type="gramEnd"/>
            <w:r w:rsidRPr="0089403A">
              <w:rPr>
                <w:rFonts w:hint="eastAsia"/>
              </w:rPr>
              <w:t>选混合型证券投资基金重大关联交易事项的公告</w:t>
            </w:r>
          </w:p>
        </w:tc>
        <w:tc>
          <w:tcPr>
            <w:tcW w:w="1630" w:type="dxa"/>
            <w:tcBorders>
              <w:top w:val="nil"/>
              <w:left w:val="nil"/>
              <w:bottom w:val="single" w:sz="4" w:space="0" w:color="auto"/>
              <w:right w:val="single" w:sz="4" w:space="0" w:color="auto"/>
            </w:tcBorders>
            <w:shd w:val="clear" w:color="auto" w:fill="auto"/>
            <w:noWrap/>
          </w:tcPr>
          <w:p w14:paraId="440A2FA3" w14:textId="763AF1A6" w:rsidR="00F57ABD" w:rsidRDefault="00F57ABD" w:rsidP="00F57ABD">
            <w:pPr>
              <w:widowControl/>
              <w:jc w:val="center"/>
              <w:rPr>
                <w:rFonts w:ascii="宋体" w:hAnsi="宋体" w:cs="宋体"/>
                <w:color w:val="000000"/>
                <w:kern w:val="0"/>
                <w:sz w:val="24"/>
              </w:rPr>
            </w:pPr>
            <w:r w:rsidRPr="00141265">
              <w:t>2021-02-27</w:t>
            </w:r>
          </w:p>
        </w:tc>
      </w:tr>
      <w:tr w:rsidR="00F57ABD" w14:paraId="04EFB20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2BE7249" w14:textId="64D99B3B"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77</w:t>
            </w:r>
          </w:p>
        </w:tc>
        <w:tc>
          <w:tcPr>
            <w:tcW w:w="7726" w:type="dxa"/>
            <w:tcBorders>
              <w:top w:val="nil"/>
              <w:left w:val="nil"/>
              <w:bottom w:val="single" w:sz="4" w:space="0" w:color="auto"/>
              <w:right w:val="single" w:sz="4" w:space="0" w:color="auto"/>
            </w:tcBorders>
            <w:shd w:val="clear" w:color="auto" w:fill="auto"/>
            <w:noWrap/>
          </w:tcPr>
          <w:p w14:paraId="5F331902" w14:textId="3AE18DCE"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朱雀基金管理有限公司关于旗下基金</w:t>
            </w:r>
            <w:r w:rsidRPr="0089403A">
              <w:rPr>
                <w:rFonts w:hint="eastAsia"/>
              </w:rPr>
              <w:t xml:space="preserve"> 2021 </w:t>
            </w:r>
            <w:r w:rsidRPr="0089403A">
              <w:rPr>
                <w:rFonts w:hint="eastAsia"/>
              </w:rPr>
              <w:t>年非港股</w:t>
            </w:r>
            <w:proofErr w:type="gramStart"/>
            <w:r w:rsidRPr="0089403A">
              <w:rPr>
                <w:rFonts w:hint="eastAsia"/>
              </w:rPr>
              <w:t>通交易</w:t>
            </w:r>
            <w:proofErr w:type="gramEnd"/>
            <w:r w:rsidRPr="0089403A">
              <w:rPr>
                <w:rFonts w:hint="eastAsia"/>
              </w:rPr>
              <w:t>日暂停申购（含日常申购和定期定额投资）、赎回及转换业务安排的公告</w:t>
            </w:r>
          </w:p>
        </w:tc>
        <w:tc>
          <w:tcPr>
            <w:tcW w:w="1630" w:type="dxa"/>
            <w:tcBorders>
              <w:top w:val="nil"/>
              <w:left w:val="nil"/>
              <w:bottom w:val="single" w:sz="4" w:space="0" w:color="auto"/>
              <w:right w:val="single" w:sz="4" w:space="0" w:color="auto"/>
            </w:tcBorders>
            <w:shd w:val="clear" w:color="auto" w:fill="auto"/>
            <w:noWrap/>
          </w:tcPr>
          <w:p w14:paraId="46534E4D" w14:textId="7A09FB7D" w:rsidR="00F57ABD" w:rsidRDefault="00F57ABD" w:rsidP="00F57ABD">
            <w:pPr>
              <w:widowControl/>
              <w:jc w:val="center"/>
              <w:rPr>
                <w:rFonts w:ascii="宋体" w:hAnsi="宋体" w:cs="宋体"/>
                <w:color w:val="000000"/>
                <w:kern w:val="0"/>
                <w:sz w:val="24"/>
              </w:rPr>
            </w:pPr>
            <w:r w:rsidRPr="00141265">
              <w:t>2021-01-26</w:t>
            </w:r>
          </w:p>
        </w:tc>
      </w:tr>
      <w:tr w:rsidR="00F57ABD" w14:paraId="0C791302"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A8D3FAE" w14:textId="0B250A8B"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78</w:t>
            </w:r>
          </w:p>
        </w:tc>
        <w:tc>
          <w:tcPr>
            <w:tcW w:w="7726" w:type="dxa"/>
            <w:tcBorders>
              <w:top w:val="nil"/>
              <w:left w:val="nil"/>
              <w:bottom w:val="single" w:sz="4" w:space="0" w:color="auto"/>
              <w:right w:val="single" w:sz="4" w:space="0" w:color="auto"/>
            </w:tcBorders>
            <w:shd w:val="clear" w:color="auto" w:fill="auto"/>
            <w:noWrap/>
          </w:tcPr>
          <w:p w14:paraId="17D0FC8F" w14:textId="1E2B3676" w:rsidR="00F57ABD" w:rsidRDefault="00F57ABD" w:rsidP="00F57ABD">
            <w:pPr>
              <w:widowControl/>
              <w:jc w:val="left"/>
              <w:rPr>
                <w:rFonts w:ascii="宋体" w:hAnsi="宋体" w:cs="宋体"/>
                <w:color w:val="000000"/>
                <w:kern w:val="0"/>
                <w:sz w:val="24"/>
              </w:rPr>
            </w:pPr>
            <w:r w:rsidRPr="0089403A">
              <w:rPr>
                <w:rFonts w:hint="eastAsia"/>
              </w:rPr>
              <w:t>朱雀基金管理有限公司关于旗下部分基金获配非公开发行股票的公告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4775C7A6" w14:textId="7AD5067C" w:rsidR="00F57ABD" w:rsidRDefault="00F57ABD" w:rsidP="00F57ABD">
            <w:pPr>
              <w:widowControl/>
              <w:jc w:val="center"/>
              <w:rPr>
                <w:rFonts w:ascii="宋体" w:hAnsi="宋体" w:cs="宋体"/>
                <w:color w:val="000000"/>
                <w:kern w:val="0"/>
                <w:sz w:val="24"/>
              </w:rPr>
            </w:pPr>
            <w:r w:rsidRPr="00141265">
              <w:t>2021-01-23</w:t>
            </w:r>
          </w:p>
        </w:tc>
      </w:tr>
      <w:tr w:rsidR="00F57ABD" w14:paraId="3206BD4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289C4D2" w14:textId="27121D63" w:rsidR="00F57ABD" w:rsidRPr="00F57ABD" w:rsidRDefault="00F57ABD" w:rsidP="00F57ABD">
            <w:pPr>
              <w:widowControl/>
              <w:jc w:val="center"/>
              <w:rPr>
                <w:rFonts w:ascii="宋体" w:hAnsi="宋体"/>
                <w:sz w:val="24"/>
              </w:rPr>
            </w:pPr>
            <w:r w:rsidRPr="00F57ABD">
              <w:rPr>
                <w:rFonts w:ascii="宋体" w:hAnsi="宋体" w:hint="eastAsia"/>
                <w:color w:val="000000"/>
                <w:sz w:val="24"/>
              </w:rPr>
              <w:t>79</w:t>
            </w:r>
          </w:p>
        </w:tc>
        <w:tc>
          <w:tcPr>
            <w:tcW w:w="7726" w:type="dxa"/>
            <w:tcBorders>
              <w:top w:val="nil"/>
              <w:left w:val="nil"/>
              <w:bottom w:val="single" w:sz="4" w:space="0" w:color="auto"/>
              <w:right w:val="single" w:sz="4" w:space="0" w:color="auto"/>
            </w:tcBorders>
            <w:shd w:val="clear" w:color="auto" w:fill="auto"/>
            <w:noWrap/>
          </w:tcPr>
          <w:p w14:paraId="3A5087DA" w14:textId="75451D80" w:rsidR="00F57ABD" w:rsidRDefault="00F57ABD" w:rsidP="00F57ABD">
            <w:pPr>
              <w:widowControl/>
              <w:jc w:val="left"/>
            </w:pPr>
            <w:r w:rsidRPr="0089403A">
              <w:rPr>
                <w:rFonts w:hint="eastAsia"/>
              </w:rPr>
              <w:t>朱雀基金管理有限公司关于开通朱雀产业</w:t>
            </w:r>
            <w:proofErr w:type="gramStart"/>
            <w:r w:rsidRPr="0089403A">
              <w:rPr>
                <w:rFonts w:hint="eastAsia"/>
              </w:rPr>
              <w:t>臻</w:t>
            </w:r>
            <w:proofErr w:type="gramEnd"/>
            <w:r w:rsidRPr="0089403A">
              <w:rPr>
                <w:rFonts w:hint="eastAsia"/>
              </w:rPr>
              <w:t>选混合型证券投资基金代销机构办理定期定额投资业务的公告</w:t>
            </w:r>
          </w:p>
        </w:tc>
        <w:tc>
          <w:tcPr>
            <w:tcW w:w="1630" w:type="dxa"/>
            <w:tcBorders>
              <w:top w:val="nil"/>
              <w:left w:val="nil"/>
              <w:bottom w:val="single" w:sz="4" w:space="0" w:color="auto"/>
              <w:right w:val="single" w:sz="4" w:space="0" w:color="auto"/>
            </w:tcBorders>
            <w:shd w:val="clear" w:color="auto" w:fill="auto"/>
            <w:noWrap/>
          </w:tcPr>
          <w:p w14:paraId="3E788EB0" w14:textId="7789C051" w:rsidR="00F57ABD" w:rsidRDefault="00F57ABD" w:rsidP="00F57ABD">
            <w:pPr>
              <w:widowControl/>
              <w:jc w:val="center"/>
            </w:pPr>
            <w:r w:rsidRPr="00141265">
              <w:t>2020-12-25</w:t>
            </w:r>
          </w:p>
        </w:tc>
      </w:tr>
      <w:tr w:rsidR="00F57ABD" w14:paraId="64FDC9B9"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4AD3505" w14:textId="7CFE1CDA" w:rsidR="00F57ABD" w:rsidRPr="00F57ABD" w:rsidRDefault="00F57ABD" w:rsidP="00F57ABD">
            <w:pPr>
              <w:widowControl/>
              <w:jc w:val="center"/>
              <w:rPr>
                <w:rFonts w:ascii="宋体" w:hAnsi="宋体"/>
                <w:sz w:val="24"/>
              </w:rPr>
            </w:pPr>
            <w:r w:rsidRPr="00F57ABD">
              <w:rPr>
                <w:rFonts w:ascii="宋体" w:hAnsi="宋体" w:hint="eastAsia"/>
                <w:color w:val="000000"/>
                <w:sz w:val="24"/>
              </w:rPr>
              <w:t>80</w:t>
            </w:r>
          </w:p>
        </w:tc>
        <w:tc>
          <w:tcPr>
            <w:tcW w:w="7726" w:type="dxa"/>
            <w:tcBorders>
              <w:top w:val="nil"/>
              <w:left w:val="nil"/>
              <w:bottom w:val="single" w:sz="4" w:space="0" w:color="auto"/>
              <w:right w:val="single" w:sz="4" w:space="0" w:color="auto"/>
            </w:tcBorders>
            <w:shd w:val="clear" w:color="auto" w:fill="auto"/>
            <w:noWrap/>
          </w:tcPr>
          <w:p w14:paraId="13D7E659" w14:textId="7A88FE71" w:rsidR="00F57ABD" w:rsidRDefault="00F57ABD" w:rsidP="00F57ABD">
            <w:pPr>
              <w:widowControl/>
              <w:jc w:val="left"/>
            </w:pPr>
            <w:r w:rsidRPr="0089403A">
              <w:rPr>
                <w:rFonts w:hint="eastAsia"/>
              </w:rPr>
              <w:t>朱雀基金管理有限公司关于旗下部分基金获配非公开发行股票的公告</w:t>
            </w:r>
          </w:p>
        </w:tc>
        <w:tc>
          <w:tcPr>
            <w:tcW w:w="1630" w:type="dxa"/>
            <w:tcBorders>
              <w:top w:val="nil"/>
              <w:left w:val="nil"/>
              <w:bottom w:val="single" w:sz="4" w:space="0" w:color="auto"/>
              <w:right w:val="single" w:sz="4" w:space="0" w:color="auto"/>
            </w:tcBorders>
            <w:shd w:val="clear" w:color="auto" w:fill="auto"/>
            <w:noWrap/>
          </w:tcPr>
          <w:p w14:paraId="5CAC9C87" w14:textId="74962D28" w:rsidR="00F57ABD" w:rsidRDefault="00F57ABD" w:rsidP="00F57ABD">
            <w:pPr>
              <w:widowControl/>
              <w:jc w:val="center"/>
            </w:pPr>
            <w:r w:rsidRPr="00141265">
              <w:t>2020-12-12</w:t>
            </w:r>
          </w:p>
        </w:tc>
      </w:tr>
      <w:tr w:rsidR="00F57ABD" w14:paraId="798F082A"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BDAF631" w14:textId="3BA5D8BF" w:rsidR="00F57ABD" w:rsidRPr="00F57ABD" w:rsidRDefault="00F57ABD" w:rsidP="00F57ABD">
            <w:pPr>
              <w:widowControl/>
              <w:jc w:val="center"/>
              <w:rPr>
                <w:rFonts w:ascii="宋体" w:hAnsi="宋体"/>
                <w:sz w:val="24"/>
              </w:rPr>
            </w:pPr>
            <w:r w:rsidRPr="00F57ABD">
              <w:rPr>
                <w:rFonts w:ascii="宋体" w:hAnsi="宋体" w:hint="eastAsia"/>
                <w:color w:val="000000"/>
                <w:sz w:val="24"/>
              </w:rPr>
              <w:lastRenderedPageBreak/>
              <w:t>81</w:t>
            </w:r>
          </w:p>
        </w:tc>
        <w:tc>
          <w:tcPr>
            <w:tcW w:w="7726" w:type="dxa"/>
            <w:tcBorders>
              <w:top w:val="nil"/>
              <w:left w:val="nil"/>
              <w:bottom w:val="single" w:sz="4" w:space="0" w:color="auto"/>
              <w:right w:val="single" w:sz="4" w:space="0" w:color="auto"/>
            </w:tcBorders>
            <w:shd w:val="clear" w:color="auto" w:fill="auto"/>
            <w:noWrap/>
          </w:tcPr>
          <w:p w14:paraId="3A236DB3" w14:textId="3FE28DAA" w:rsidR="00F57ABD" w:rsidRDefault="00F57ABD" w:rsidP="00F57ABD">
            <w:pPr>
              <w:widowControl/>
              <w:jc w:val="left"/>
            </w:pPr>
            <w:r w:rsidRPr="0089403A">
              <w:rPr>
                <w:rFonts w:hint="eastAsia"/>
              </w:rPr>
              <w:t>关于新增华泰证券股份有限公司为朱雀产业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金销售机构的公告</w:t>
            </w:r>
          </w:p>
        </w:tc>
        <w:tc>
          <w:tcPr>
            <w:tcW w:w="1630" w:type="dxa"/>
            <w:tcBorders>
              <w:top w:val="nil"/>
              <w:left w:val="nil"/>
              <w:bottom w:val="single" w:sz="4" w:space="0" w:color="auto"/>
              <w:right w:val="single" w:sz="4" w:space="0" w:color="auto"/>
            </w:tcBorders>
            <w:shd w:val="clear" w:color="auto" w:fill="auto"/>
            <w:noWrap/>
          </w:tcPr>
          <w:p w14:paraId="7C3432D5" w14:textId="716181BB" w:rsidR="00F57ABD" w:rsidRDefault="00F57ABD" w:rsidP="00F57ABD">
            <w:pPr>
              <w:widowControl/>
              <w:jc w:val="center"/>
            </w:pPr>
            <w:r w:rsidRPr="00141265">
              <w:t>2020-09-02</w:t>
            </w:r>
          </w:p>
        </w:tc>
      </w:tr>
      <w:tr w:rsidR="00F57ABD" w14:paraId="30C6930E"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F393DF2" w14:textId="6478F379" w:rsidR="00F57ABD" w:rsidRPr="00F57ABD" w:rsidRDefault="00F57ABD" w:rsidP="00F57ABD">
            <w:pPr>
              <w:widowControl/>
              <w:jc w:val="center"/>
              <w:rPr>
                <w:rFonts w:ascii="宋体" w:hAnsi="宋体"/>
                <w:sz w:val="24"/>
              </w:rPr>
            </w:pPr>
            <w:r w:rsidRPr="00F57ABD">
              <w:rPr>
                <w:rFonts w:ascii="宋体" w:hAnsi="宋体" w:hint="eastAsia"/>
                <w:color w:val="000000"/>
                <w:sz w:val="24"/>
              </w:rPr>
              <w:t>82</w:t>
            </w:r>
          </w:p>
        </w:tc>
        <w:tc>
          <w:tcPr>
            <w:tcW w:w="7726" w:type="dxa"/>
            <w:tcBorders>
              <w:top w:val="nil"/>
              <w:left w:val="nil"/>
              <w:bottom w:val="single" w:sz="4" w:space="0" w:color="auto"/>
              <w:right w:val="single" w:sz="4" w:space="0" w:color="auto"/>
            </w:tcBorders>
            <w:shd w:val="clear" w:color="auto" w:fill="auto"/>
            <w:noWrap/>
          </w:tcPr>
          <w:p w14:paraId="520A7582" w14:textId="4D7DEBEE"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proofErr w:type="gramStart"/>
            <w:r w:rsidRPr="0089403A">
              <w:rPr>
                <w:rFonts w:hint="eastAsia"/>
              </w:rPr>
              <w:t>基</w:t>
            </w:r>
            <w:proofErr w:type="gramEnd"/>
            <w:r w:rsidRPr="0089403A">
              <w:rPr>
                <w:rFonts w:hint="eastAsia"/>
              </w:rPr>
              <w:t>金</w:t>
            </w:r>
            <w:r w:rsidRPr="0089403A">
              <w:rPr>
                <w:rFonts w:hint="eastAsia"/>
              </w:rPr>
              <w:t>(A</w:t>
            </w:r>
            <w:r w:rsidRPr="0089403A">
              <w:rPr>
                <w:rFonts w:hint="eastAsia"/>
              </w:rPr>
              <w:t>类份额</w:t>
            </w:r>
            <w:r w:rsidRPr="0089403A">
              <w:rPr>
                <w:rFonts w:hint="eastAsia"/>
              </w:rPr>
              <w:t>)</w:t>
            </w:r>
            <w:r w:rsidRPr="0089403A">
              <w:rPr>
                <w:rFonts w:hint="eastAsia"/>
              </w:rPr>
              <w:t>基金产品资料概要更新</w:t>
            </w:r>
          </w:p>
        </w:tc>
        <w:tc>
          <w:tcPr>
            <w:tcW w:w="1630" w:type="dxa"/>
            <w:tcBorders>
              <w:top w:val="nil"/>
              <w:left w:val="nil"/>
              <w:bottom w:val="single" w:sz="4" w:space="0" w:color="auto"/>
              <w:right w:val="single" w:sz="4" w:space="0" w:color="auto"/>
            </w:tcBorders>
            <w:shd w:val="clear" w:color="auto" w:fill="auto"/>
            <w:noWrap/>
          </w:tcPr>
          <w:p w14:paraId="764ADB28" w14:textId="72D0F50E" w:rsidR="00F57ABD" w:rsidRDefault="00F57ABD" w:rsidP="00F57ABD">
            <w:pPr>
              <w:widowControl/>
              <w:jc w:val="center"/>
            </w:pPr>
            <w:r w:rsidRPr="00141265">
              <w:t>2020-08-27</w:t>
            </w:r>
          </w:p>
        </w:tc>
      </w:tr>
      <w:tr w:rsidR="00F57ABD" w14:paraId="682904C9"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D044DF0" w14:textId="0F214BDE" w:rsidR="00F57ABD" w:rsidRPr="00F57ABD" w:rsidRDefault="00F57ABD" w:rsidP="00F57ABD">
            <w:pPr>
              <w:widowControl/>
              <w:jc w:val="center"/>
              <w:rPr>
                <w:rFonts w:ascii="宋体" w:hAnsi="宋体"/>
                <w:sz w:val="24"/>
              </w:rPr>
            </w:pPr>
            <w:r w:rsidRPr="00F57ABD">
              <w:rPr>
                <w:rFonts w:ascii="宋体" w:hAnsi="宋体" w:hint="eastAsia"/>
                <w:color w:val="000000"/>
                <w:sz w:val="24"/>
              </w:rPr>
              <w:t>83</w:t>
            </w:r>
          </w:p>
        </w:tc>
        <w:tc>
          <w:tcPr>
            <w:tcW w:w="7726" w:type="dxa"/>
            <w:tcBorders>
              <w:top w:val="nil"/>
              <w:left w:val="nil"/>
              <w:bottom w:val="single" w:sz="4" w:space="0" w:color="auto"/>
              <w:right w:val="single" w:sz="4" w:space="0" w:color="auto"/>
            </w:tcBorders>
            <w:shd w:val="clear" w:color="auto" w:fill="auto"/>
            <w:noWrap/>
          </w:tcPr>
          <w:p w14:paraId="392EBF76" w14:textId="06BF86BF"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金经理变更公告</w:t>
            </w:r>
          </w:p>
        </w:tc>
        <w:tc>
          <w:tcPr>
            <w:tcW w:w="1630" w:type="dxa"/>
            <w:tcBorders>
              <w:top w:val="nil"/>
              <w:left w:val="nil"/>
              <w:bottom w:val="single" w:sz="4" w:space="0" w:color="auto"/>
              <w:right w:val="single" w:sz="4" w:space="0" w:color="auto"/>
            </w:tcBorders>
            <w:shd w:val="clear" w:color="auto" w:fill="auto"/>
            <w:noWrap/>
          </w:tcPr>
          <w:p w14:paraId="5173F273" w14:textId="7CA0EF67" w:rsidR="00F57ABD" w:rsidRDefault="00F57ABD" w:rsidP="00F57ABD">
            <w:pPr>
              <w:widowControl/>
              <w:jc w:val="center"/>
            </w:pPr>
            <w:r w:rsidRPr="00141265">
              <w:t>2020-06-30</w:t>
            </w:r>
          </w:p>
        </w:tc>
      </w:tr>
      <w:tr w:rsidR="00F57ABD" w14:paraId="04BF9D2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8A97927" w14:textId="0B682E23" w:rsidR="00F57ABD" w:rsidRPr="00F57ABD" w:rsidRDefault="00F57ABD" w:rsidP="00F57ABD">
            <w:pPr>
              <w:widowControl/>
              <w:jc w:val="center"/>
              <w:rPr>
                <w:rFonts w:ascii="宋体" w:hAnsi="宋体"/>
                <w:sz w:val="24"/>
              </w:rPr>
            </w:pPr>
            <w:r w:rsidRPr="00F57ABD">
              <w:rPr>
                <w:rFonts w:ascii="宋体" w:hAnsi="宋体" w:hint="eastAsia"/>
                <w:color w:val="000000"/>
                <w:sz w:val="24"/>
              </w:rPr>
              <w:t>84</w:t>
            </w:r>
          </w:p>
        </w:tc>
        <w:tc>
          <w:tcPr>
            <w:tcW w:w="7726" w:type="dxa"/>
            <w:tcBorders>
              <w:top w:val="nil"/>
              <w:left w:val="nil"/>
              <w:bottom w:val="single" w:sz="4" w:space="0" w:color="auto"/>
              <w:right w:val="single" w:sz="4" w:space="0" w:color="auto"/>
            </w:tcBorders>
            <w:shd w:val="clear" w:color="auto" w:fill="auto"/>
            <w:noWrap/>
          </w:tcPr>
          <w:p w14:paraId="68997062" w14:textId="25AE02F2" w:rsidR="00F57ABD" w:rsidRDefault="00F57ABD" w:rsidP="00F57ABD">
            <w:pPr>
              <w:widowControl/>
              <w:jc w:val="left"/>
            </w:pPr>
            <w:r w:rsidRPr="0089403A">
              <w:rPr>
                <w:rFonts w:hint="eastAsia"/>
              </w:rPr>
              <w:t>朱雀基金管理有限公司关于旗下部分开放式基金开通基金转换业务的公告</w:t>
            </w:r>
          </w:p>
        </w:tc>
        <w:tc>
          <w:tcPr>
            <w:tcW w:w="1630" w:type="dxa"/>
            <w:tcBorders>
              <w:top w:val="nil"/>
              <w:left w:val="nil"/>
              <w:bottom w:val="single" w:sz="4" w:space="0" w:color="auto"/>
              <w:right w:val="single" w:sz="4" w:space="0" w:color="auto"/>
            </w:tcBorders>
            <w:shd w:val="clear" w:color="auto" w:fill="auto"/>
            <w:noWrap/>
          </w:tcPr>
          <w:p w14:paraId="617947AD" w14:textId="1FB3C88C" w:rsidR="00F57ABD" w:rsidRDefault="00F57ABD" w:rsidP="00F57ABD">
            <w:pPr>
              <w:widowControl/>
              <w:jc w:val="center"/>
            </w:pPr>
            <w:r w:rsidRPr="00141265">
              <w:t>2020-03-30</w:t>
            </w:r>
          </w:p>
        </w:tc>
      </w:tr>
      <w:tr w:rsidR="00F57ABD" w14:paraId="1878C6D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5FCAAD3" w14:textId="36BEA7D1"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85</w:t>
            </w:r>
          </w:p>
        </w:tc>
        <w:tc>
          <w:tcPr>
            <w:tcW w:w="7726" w:type="dxa"/>
            <w:tcBorders>
              <w:top w:val="nil"/>
              <w:left w:val="nil"/>
              <w:bottom w:val="single" w:sz="4" w:space="0" w:color="auto"/>
              <w:right w:val="single" w:sz="4" w:space="0" w:color="auto"/>
            </w:tcBorders>
            <w:shd w:val="clear" w:color="auto" w:fill="auto"/>
            <w:noWrap/>
          </w:tcPr>
          <w:p w14:paraId="09322956" w14:textId="2D808ABD" w:rsidR="00F57ABD" w:rsidRDefault="00F57ABD" w:rsidP="00F57ABD">
            <w:pPr>
              <w:widowControl/>
              <w:jc w:val="left"/>
              <w:rPr>
                <w:rFonts w:ascii="宋体" w:hAnsi="宋体" w:cs="宋体"/>
                <w:color w:val="000000"/>
                <w:kern w:val="0"/>
                <w:sz w:val="24"/>
              </w:rPr>
            </w:pPr>
            <w:r w:rsidRPr="0089403A">
              <w:rPr>
                <w:rFonts w:hint="eastAsia"/>
              </w:rPr>
              <w:t>朱雀基金管理有限公司关于增加上海基</w:t>
            </w:r>
            <w:proofErr w:type="gramStart"/>
            <w:r w:rsidRPr="0089403A">
              <w:rPr>
                <w:rFonts w:hint="eastAsia"/>
              </w:rPr>
              <w:t>煜</w:t>
            </w:r>
            <w:proofErr w:type="gramEnd"/>
            <w:r w:rsidRPr="0089403A">
              <w:rPr>
                <w:rFonts w:hint="eastAsia"/>
              </w:rPr>
              <w:t>基金销售有限公司为旗下基金销售机构的公告</w:t>
            </w:r>
          </w:p>
        </w:tc>
        <w:tc>
          <w:tcPr>
            <w:tcW w:w="1630" w:type="dxa"/>
            <w:tcBorders>
              <w:top w:val="nil"/>
              <w:left w:val="nil"/>
              <w:bottom w:val="single" w:sz="4" w:space="0" w:color="auto"/>
              <w:right w:val="single" w:sz="4" w:space="0" w:color="auto"/>
            </w:tcBorders>
            <w:shd w:val="clear" w:color="auto" w:fill="auto"/>
            <w:noWrap/>
          </w:tcPr>
          <w:p w14:paraId="6468830F" w14:textId="37574FD9" w:rsidR="00F57ABD" w:rsidRDefault="00F57ABD" w:rsidP="00F57ABD">
            <w:pPr>
              <w:widowControl/>
              <w:jc w:val="center"/>
              <w:rPr>
                <w:rFonts w:ascii="宋体" w:hAnsi="宋体" w:cs="宋体"/>
                <w:color w:val="000000"/>
                <w:kern w:val="0"/>
                <w:sz w:val="24"/>
              </w:rPr>
            </w:pPr>
            <w:r w:rsidRPr="00141265">
              <w:t>2020-02-12</w:t>
            </w:r>
          </w:p>
        </w:tc>
      </w:tr>
      <w:tr w:rsidR="00F57ABD" w14:paraId="132CFAED"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C7111A0" w14:textId="4B38D21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86</w:t>
            </w:r>
          </w:p>
        </w:tc>
        <w:tc>
          <w:tcPr>
            <w:tcW w:w="7726" w:type="dxa"/>
            <w:tcBorders>
              <w:top w:val="nil"/>
              <w:left w:val="nil"/>
              <w:bottom w:val="single" w:sz="4" w:space="0" w:color="auto"/>
              <w:right w:val="single" w:sz="4" w:space="0" w:color="auto"/>
            </w:tcBorders>
            <w:shd w:val="clear" w:color="auto" w:fill="auto"/>
            <w:noWrap/>
          </w:tcPr>
          <w:p w14:paraId="48BE1A11" w14:textId="10C92169" w:rsidR="00F57ABD" w:rsidRDefault="00F57ABD" w:rsidP="00F57ABD">
            <w:pPr>
              <w:widowControl/>
              <w:jc w:val="left"/>
              <w:rPr>
                <w:rFonts w:ascii="宋体" w:hAnsi="宋体" w:cs="宋体"/>
                <w:color w:val="000000"/>
                <w:kern w:val="0"/>
                <w:sz w:val="24"/>
              </w:rPr>
            </w:pPr>
            <w:r w:rsidRPr="0089403A">
              <w:rPr>
                <w:rFonts w:hint="eastAsia"/>
              </w:rPr>
              <w:t>关于新增西部期货有限公司为朱雀产业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金销售机构的公告</w:t>
            </w:r>
          </w:p>
        </w:tc>
        <w:tc>
          <w:tcPr>
            <w:tcW w:w="1630" w:type="dxa"/>
            <w:tcBorders>
              <w:top w:val="nil"/>
              <w:left w:val="nil"/>
              <w:bottom w:val="single" w:sz="4" w:space="0" w:color="auto"/>
              <w:right w:val="single" w:sz="4" w:space="0" w:color="auto"/>
            </w:tcBorders>
            <w:shd w:val="clear" w:color="auto" w:fill="auto"/>
            <w:noWrap/>
          </w:tcPr>
          <w:p w14:paraId="3FFACA3A" w14:textId="0F1367C1" w:rsidR="00F57ABD" w:rsidRDefault="00F57ABD" w:rsidP="00F57ABD">
            <w:pPr>
              <w:widowControl/>
              <w:jc w:val="center"/>
              <w:rPr>
                <w:rFonts w:ascii="宋体" w:hAnsi="宋体" w:cs="宋体"/>
                <w:color w:val="000000"/>
                <w:kern w:val="0"/>
                <w:sz w:val="24"/>
              </w:rPr>
            </w:pPr>
            <w:r w:rsidRPr="00141265">
              <w:t>2019-12-16</w:t>
            </w:r>
          </w:p>
        </w:tc>
      </w:tr>
      <w:tr w:rsidR="00F57ABD" w14:paraId="1C70CA00"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FA30022" w14:textId="5DE1B6E4"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87</w:t>
            </w:r>
          </w:p>
        </w:tc>
        <w:tc>
          <w:tcPr>
            <w:tcW w:w="7726" w:type="dxa"/>
            <w:tcBorders>
              <w:top w:val="nil"/>
              <w:left w:val="nil"/>
              <w:bottom w:val="single" w:sz="4" w:space="0" w:color="auto"/>
              <w:right w:val="single" w:sz="4" w:space="0" w:color="auto"/>
            </w:tcBorders>
            <w:shd w:val="clear" w:color="auto" w:fill="auto"/>
            <w:noWrap/>
          </w:tcPr>
          <w:p w14:paraId="6B48EE5E" w14:textId="4F55C979" w:rsidR="00F57ABD" w:rsidRDefault="00F57ABD" w:rsidP="00F57ABD">
            <w:pPr>
              <w:widowControl/>
              <w:jc w:val="left"/>
              <w:rPr>
                <w:rFonts w:ascii="宋体" w:hAnsi="宋体" w:cs="宋体"/>
                <w:color w:val="000000"/>
                <w:kern w:val="0"/>
                <w:sz w:val="24"/>
              </w:rPr>
            </w:pPr>
            <w:r w:rsidRPr="0089403A">
              <w:rPr>
                <w:rFonts w:hint="eastAsia"/>
              </w:rPr>
              <w:t>朱雀基金管理有限公司关于根据《公开募集证券投资基金信息披露管理办法》修改朱雀产业</w:t>
            </w:r>
            <w:proofErr w:type="gramStart"/>
            <w:r w:rsidRPr="0089403A">
              <w:rPr>
                <w:rFonts w:hint="eastAsia"/>
              </w:rPr>
              <w:t>臻</w:t>
            </w:r>
            <w:proofErr w:type="gramEnd"/>
            <w:r w:rsidRPr="0089403A">
              <w:rPr>
                <w:rFonts w:hint="eastAsia"/>
              </w:rPr>
              <w:t>选混合型证券投资基金相关法律文件的公告</w:t>
            </w:r>
          </w:p>
        </w:tc>
        <w:tc>
          <w:tcPr>
            <w:tcW w:w="1630" w:type="dxa"/>
            <w:tcBorders>
              <w:top w:val="nil"/>
              <w:left w:val="nil"/>
              <w:bottom w:val="single" w:sz="4" w:space="0" w:color="auto"/>
              <w:right w:val="single" w:sz="4" w:space="0" w:color="auto"/>
            </w:tcBorders>
            <w:shd w:val="clear" w:color="auto" w:fill="auto"/>
            <w:noWrap/>
          </w:tcPr>
          <w:p w14:paraId="67ED7A11" w14:textId="291F133B" w:rsidR="00F57ABD" w:rsidRDefault="00F57ABD" w:rsidP="00F57ABD">
            <w:pPr>
              <w:widowControl/>
              <w:jc w:val="center"/>
              <w:rPr>
                <w:rFonts w:ascii="宋体" w:hAnsi="宋体" w:cs="宋体"/>
                <w:color w:val="000000"/>
                <w:kern w:val="0"/>
                <w:sz w:val="24"/>
              </w:rPr>
            </w:pPr>
            <w:r w:rsidRPr="00141265">
              <w:t>2019-11-22</w:t>
            </w:r>
          </w:p>
        </w:tc>
      </w:tr>
      <w:tr w:rsidR="00F57ABD" w14:paraId="4BAE0E8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E022417" w14:textId="37323B8B"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88</w:t>
            </w:r>
          </w:p>
        </w:tc>
        <w:tc>
          <w:tcPr>
            <w:tcW w:w="7726" w:type="dxa"/>
            <w:tcBorders>
              <w:top w:val="nil"/>
              <w:left w:val="nil"/>
              <w:bottom w:val="single" w:sz="4" w:space="0" w:color="auto"/>
              <w:right w:val="single" w:sz="4" w:space="0" w:color="auto"/>
            </w:tcBorders>
            <w:shd w:val="clear" w:color="auto" w:fill="auto"/>
            <w:noWrap/>
          </w:tcPr>
          <w:p w14:paraId="232F41C7" w14:textId="0EA08A27"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选混合型证券投资基金开放日常申购、赎回、定期定额投资业务的公告</w:t>
            </w:r>
          </w:p>
        </w:tc>
        <w:tc>
          <w:tcPr>
            <w:tcW w:w="1630" w:type="dxa"/>
            <w:tcBorders>
              <w:top w:val="nil"/>
              <w:left w:val="nil"/>
              <w:bottom w:val="single" w:sz="4" w:space="0" w:color="auto"/>
              <w:right w:val="single" w:sz="4" w:space="0" w:color="auto"/>
            </w:tcBorders>
            <w:shd w:val="clear" w:color="auto" w:fill="auto"/>
            <w:noWrap/>
          </w:tcPr>
          <w:p w14:paraId="66FB2457" w14:textId="3FE0B177" w:rsidR="00F57ABD" w:rsidRDefault="00F57ABD" w:rsidP="00F57ABD">
            <w:pPr>
              <w:widowControl/>
              <w:jc w:val="center"/>
              <w:rPr>
                <w:rFonts w:ascii="宋体" w:hAnsi="宋体" w:cs="宋体"/>
                <w:color w:val="000000"/>
                <w:kern w:val="0"/>
                <w:sz w:val="24"/>
              </w:rPr>
            </w:pPr>
            <w:r w:rsidRPr="00141265">
              <w:t>2019-09-17</w:t>
            </w:r>
          </w:p>
        </w:tc>
      </w:tr>
      <w:tr w:rsidR="00F57ABD" w14:paraId="38B02E4A"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F6FFA40" w14:textId="1D2320DC"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89</w:t>
            </w:r>
          </w:p>
        </w:tc>
        <w:tc>
          <w:tcPr>
            <w:tcW w:w="7726" w:type="dxa"/>
            <w:tcBorders>
              <w:top w:val="nil"/>
              <w:left w:val="nil"/>
              <w:bottom w:val="single" w:sz="4" w:space="0" w:color="auto"/>
              <w:right w:val="single" w:sz="4" w:space="0" w:color="auto"/>
            </w:tcBorders>
            <w:shd w:val="clear" w:color="auto" w:fill="auto"/>
            <w:noWrap/>
          </w:tcPr>
          <w:p w14:paraId="35E065B5" w14:textId="2DB55550" w:rsidR="00F57ABD" w:rsidRDefault="00F57ABD" w:rsidP="00F57ABD">
            <w:pPr>
              <w:widowControl/>
              <w:jc w:val="left"/>
              <w:rPr>
                <w:rFonts w:ascii="宋体" w:hAnsi="宋体" w:cs="宋体"/>
                <w:color w:val="000000"/>
                <w:kern w:val="0"/>
                <w:sz w:val="24"/>
              </w:rPr>
            </w:pPr>
            <w:r w:rsidRPr="0089403A">
              <w:rPr>
                <w:rFonts w:hint="eastAsia"/>
              </w:rPr>
              <w:t>关于调整朱雀产业</w:t>
            </w:r>
            <w:proofErr w:type="gramStart"/>
            <w:r w:rsidRPr="0089403A">
              <w:rPr>
                <w:rFonts w:hint="eastAsia"/>
              </w:rPr>
              <w:t>臻</w:t>
            </w:r>
            <w:proofErr w:type="gramEnd"/>
            <w:r w:rsidRPr="0089403A">
              <w:rPr>
                <w:rFonts w:hint="eastAsia"/>
              </w:rPr>
              <w:t>选混合型证券投资基金首次申购和追加申购最低金额的公告</w:t>
            </w:r>
          </w:p>
        </w:tc>
        <w:tc>
          <w:tcPr>
            <w:tcW w:w="1630" w:type="dxa"/>
            <w:tcBorders>
              <w:top w:val="nil"/>
              <w:left w:val="nil"/>
              <w:bottom w:val="single" w:sz="4" w:space="0" w:color="auto"/>
              <w:right w:val="single" w:sz="4" w:space="0" w:color="auto"/>
            </w:tcBorders>
            <w:shd w:val="clear" w:color="auto" w:fill="auto"/>
            <w:noWrap/>
          </w:tcPr>
          <w:p w14:paraId="7CAA9F5A" w14:textId="2096A9E4" w:rsidR="00F57ABD" w:rsidRDefault="00F57ABD" w:rsidP="00F57ABD">
            <w:pPr>
              <w:widowControl/>
              <w:jc w:val="center"/>
              <w:rPr>
                <w:rFonts w:ascii="宋体" w:hAnsi="宋体" w:cs="宋体"/>
                <w:color w:val="000000"/>
                <w:kern w:val="0"/>
                <w:sz w:val="24"/>
              </w:rPr>
            </w:pPr>
            <w:r w:rsidRPr="00141265">
              <w:t>2019-09-17</w:t>
            </w:r>
          </w:p>
        </w:tc>
      </w:tr>
      <w:tr w:rsidR="00F57ABD" w14:paraId="3C084FC2"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9ECAA9E" w14:textId="67B057D5"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90</w:t>
            </w:r>
          </w:p>
        </w:tc>
        <w:tc>
          <w:tcPr>
            <w:tcW w:w="7726" w:type="dxa"/>
            <w:tcBorders>
              <w:top w:val="nil"/>
              <w:left w:val="nil"/>
              <w:bottom w:val="single" w:sz="4" w:space="0" w:color="auto"/>
              <w:right w:val="single" w:sz="4" w:space="0" w:color="auto"/>
            </w:tcBorders>
            <w:shd w:val="clear" w:color="auto" w:fill="auto"/>
            <w:noWrap/>
          </w:tcPr>
          <w:p w14:paraId="675A5227" w14:textId="3771B532" w:rsidR="00F57ABD" w:rsidRDefault="00F57ABD" w:rsidP="00F57ABD">
            <w:pPr>
              <w:widowControl/>
              <w:jc w:val="left"/>
              <w:rPr>
                <w:rFonts w:ascii="宋体" w:hAnsi="宋体" w:cs="宋体"/>
                <w:color w:val="000000"/>
                <w:kern w:val="0"/>
                <w:sz w:val="24"/>
              </w:rPr>
            </w:pPr>
            <w:r w:rsidRPr="0089403A">
              <w:rPr>
                <w:rFonts w:hint="eastAsia"/>
              </w:rPr>
              <w:t>关于增加朱雀产业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金销售机构的公告</w:t>
            </w:r>
          </w:p>
        </w:tc>
        <w:tc>
          <w:tcPr>
            <w:tcW w:w="1630" w:type="dxa"/>
            <w:tcBorders>
              <w:top w:val="nil"/>
              <w:left w:val="nil"/>
              <w:bottom w:val="single" w:sz="4" w:space="0" w:color="auto"/>
              <w:right w:val="single" w:sz="4" w:space="0" w:color="auto"/>
            </w:tcBorders>
            <w:shd w:val="clear" w:color="auto" w:fill="auto"/>
            <w:noWrap/>
          </w:tcPr>
          <w:p w14:paraId="0F0E8B72" w14:textId="2041114A" w:rsidR="00F57ABD" w:rsidRDefault="00F57ABD" w:rsidP="00F57ABD">
            <w:pPr>
              <w:widowControl/>
              <w:jc w:val="center"/>
              <w:rPr>
                <w:rFonts w:ascii="宋体" w:hAnsi="宋体" w:cs="宋体"/>
                <w:color w:val="000000"/>
                <w:kern w:val="0"/>
                <w:sz w:val="24"/>
              </w:rPr>
            </w:pPr>
            <w:r w:rsidRPr="00141265">
              <w:t>2019-09-17</w:t>
            </w:r>
          </w:p>
        </w:tc>
      </w:tr>
      <w:tr w:rsidR="00F57ABD" w14:paraId="7E7C119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5E899EC" w14:textId="73268441"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91</w:t>
            </w:r>
          </w:p>
        </w:tc>
        <w:tc>
          <w:tcPr>
            <w:tcW w:w="7726" w:type="dxa"/>
            <w:tcBorders>
              <w:top w:val="nil"/>
              <w:left w:val="nil"/>
              <w:bottom w:val="single" w:sz="4" w:space="0" w:color="auto"/>
              <w:right w:val="single" w:sz="4" w:space="0" w:color="auto"/>
            </w:tcBorders>
            <w:shd w:val="clear" w:color="auto" w:fill="auto"/>
            <w:noWrap/>
          </w:tcPr>
          <w:p w14:paraId="6765C168" w14:textId="06D150ED" w:rsidR="00F57ABD" w:rsidRDefault="00F57ABD" w:rsidP="00F57ABD">
            <w:pPr>
              <w:widowControl/>
              <w:jc w:val="left"/>
              <w:rPr>
                <w:rFonts w:ascii="宋体" w:hAnsi="宋体" w:cs="宋体"/>
                <w:color w:val="000000"/>
                <w:kern w:val="0"/>
                <w:sz w:val="24"/>
              </w:rPr>
            </w:pPr>
            <w:r w:rsidRPr="0089403A">
              <w:rPr>
                <w:rFonts w:hint="eastAsia"/>
              </w:rPr>
              <w:t>朱雀基金管理有限公司关于朱雀产业</w:t>
            </w:r>
            <w:proofErr w:type="gramStart"/>
            <w:r w:rsidRPr="0089403A">
              <w:rPr>
                <w:rFonts w:hint="eastAsia"/>
              </w:rPr>
              <w:t>臻</w:t>
            </w:r>
            <w:proofErr w:type="gramEnd"/>
            <w:r w:rsidRPr="0089403A">
              <w:rPr>
                <w:rFonts w:hint="eastAsia"/>
              </w:rPr>
              <w:t>选混合型证券投资基金参与</w:t>
            </w:r>
            <w:proofErr w:type="gramStart"/>
            <w:r w:rsidRPr="0089403A">
              <w:rPr>
                <w:rFonts w:hint="eastAsia"/>
              </w:rPr>
              <w:t>科创板股</w:t>
            </w:r>
            <w:proofErr w:type="gramEnd"/>
            <w:r w:rsidRPr="0089403A">
              <w:rPr>
                <w:rFonts w:hint="eastAsia"/>
              </w:rPr>
              <w:t>票投资及相关风险提示的公告</w:t>
            </w:r>
          </w:p>
        </w:tc>
        <w:tc>
          <w:tcPr>
            <w:tcW w:w="1630" w:type="dxa"/>
            <w:tcBorders>
              <w:top w:val="nil"/>
              <w:left w:val="nil"/>
              <w:bottom w:val="single" w:sz="4" w:space="0" w:color="auto"/>
              <w:right w:val="single" w:sz="4" w:space="0" w:color="auto"/>
            </w:tcBorders>
            <w:shd w:val="clear" w:color="auto" w:fill="auto"/>
            <w:noWrap/>
          </w:tcPr>
          <w:p w14:paraId="45B9A858" w14:textId="271A3BE3" w:rsidR="00F57ABD" w:rsidRDefault="00F57ABD" w:rsidP="00F57ABD">
            <w:pPr>
              <w:widowControl/>
              <w:jc w:val="center"/>
              <w:rPr>
                <w:rFonts w:ascii="宋体" w:hAnsi="宋体" w:cs="宋体"/>
                <w:color w:val="000000"/>
                <w:kern w:val="0"/>
                <w:sz w:val="24"/>
              </w:rPr>
            </w:pPr>
            <w:r w:rsidRPr="00141265">
              <w:t>2019-07-04</w:t>
            </w:r>
          </w:p>
        </w:tc>
      </w:tr>
      <w:tr w:rsidR="00F57ABD" w14:paraId="64F8FD7C"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7320819" w14:textId="453A2AC0"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92</w:t>
            </w:r>
          </w:p>
        </w:tc>
        <w:tc>
          <w:tcPr>
            <w:tcW w:w="7726" w:type="dxa"/>
            <w:tcBorders>
              <w:top w:val="nil"/>
              <w:left w:val="nil"/>
              <w:bottom w:val="single" w:sz="4" w:space="0" w:color="auto"/>
              <w:right w:val="single" w:sz="4" w:space="0" w:color="auto"/>
            </w:tcBorders>
            <w:shd w:val="clear" w:color="auto" w:fill="auto"/>
            <w:noWrap/>
          </w:tcPr>
          <w:p w14:paraId="356D899D" w14:textId="00828527" w:rsidR="00F57ABD" w:rsidRPr="00133824" w:rsidRDefault="00F57ABD" w:rsidP="00F57ABD">
            <w:pPr>
              <w:widowControl/>
              <w:jc w:val="left"/>
            </w:pPr>
            <w:r w:rsidRPr="00F57ABD">
              <w:rPr>
                <w:rFonts w:hint="eastAsia"/>
              </w:rPr>
              <w:t>朱雀产业</w:t>
            </w:r>
            <w:proofErr w:type="gramStart"/>
            <w:r w:rsidRPr="00F57ABD">
              <w:rPr>
                <w:rFonts w:hint="eastAsia"/>
              </w:rPr>
              <w:t>臻</w:t>
            </w:r>
            <w:proofErr w:type="gramEnd"/>
            <w:r w:rsidRPr="00F57ABD">
              <w:rPr>
                <w:rFonts w:hint="eastAsia"/>
              </w:rPr>
              <w:t>选混合型证券投资基金托管协议（更新）</w:t>
            </w:r>
          </w:p>
        </w:tc>
        <w:tc>
          <w:tcPr>
            <w:tcW w:w="1630" w:type="dxa"/>
            <w:tcBorders>
              <w:top w:val="nil"/>
              <w:left w:val="nil"/>
              <w:bottom w:val="single" w:sz="4" w:space="0" w:color="auto"/>
              <w:right w:val="single" w:sz="4" w:space="0" w:color="auto"/>
            </w:tcBorders>
            <w:shd w:val="clear" w:color="auto" w:fill="auto"/>
            <w:noWrap/>
          </w:tcPr>
          <w:p w14:paraId="46452068" w14:textId="18AA2CD6" w:rsidR="00F57ABD" w:rsidRPr="00133824" w:rsidRDefault="00F57ABD" w:rsidP="00F57ABD">
            <w:pPr>
              <w:widowControl/>
              <w:jc w:val="center"/>
            </w:pPr>
            <w:r w:rsidRPr="00F57ABD">
              <w:t>2026-08-21</w:t>
            </w:r>
          </w:p>
        </w:tc>
      </w:tr>
      <w:tr w:rsidR="00F57ABD" w14:paraId="2C47713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F2177BB" w14:textId="6386E27C"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93</w:t>
            </w:r>
          </w:p>
        </w:tc>
        <w:tc>
          <w:tcPr>
            <w:tcW w:w="7726" w:type="dxa"/>
            <w:tcBorders>
              <w:top w:val="nil"/>
              <w:left w:val="nil"/>
              <w:bottom w:val="single" w:sz="4" w:space="0" w:color="auto"/>
              <w:right w:val="single" w:sz="4" w:space="0" w:color="auto"/>
            </w:tcBorders>
            <w:shd w:val="clear" w:color="auto" w:fill="auto"/>
            <w:noWrap/>
          </w:tcPr>
          <w:p w14:paraId="01FB1A2D" w14:textId="41D161AF" w:rsidR="00F57ABD" w:rsidRPr="00133824" w:rsidRDefault="00F57ABD" w:rsidP="00F57ABD">
            <w:pPr>
              <w:widowControl/>
              <w:jc w:val="left"/>
            </w:pPr>
            <w:r w:rsidRPr="00F57ABD">
              <w:rPr>
                <w:rFonts w:hint="eastAsia"/>
              </w:rPr>
              <w:t>朱雀产业</w:t>
            </w:r>
            <w:proofErr w:type="gramStart"/>
            <w:r w:rsidRPr="00F57ABD">
              <w:rPr>
                <w:rFonts w:hint="eastAsia"/>
              </w:rPr>
              <w:t>臻</w:t>
            </w:r>
            <w:proofErr w:type="gramEnd"/>
            <w:r w:rsidRPr="00F57ABD">
              <w:rPr>
                <w:rFonts w:hint="eastAsia"/>
              </w:rPr>
              <w:t>选混合型证券投资</w:t>
            </w:r>
            <w:proofErr w:type="gramStart"/>
            <w:r w:rsidRPr="00F57ABD">
              <w:rPr>
                <w:rFonts w:hint="eastAsia"/>
              </w:rPr>
              <w:t>基金基</w:t>
            </w:r>
            <w:proofErr w:type="gramEnd"/>
            <w:r w:rsidRPr="00F57ABD">
              <w:rPr>
                <w:rFonts w:hint="eastAsia"/>
              </w:rPr>
              <w:t>金合同（更新）</w:t>
            </w:r>
          </w:p>
        </w:tc>
        <w:tc>
          <w:tcPr>
            <w:tcW w:w="1630" w:type="dxa"/>
            <w:tcBorders>
              <w:top w:val="nil"/>
              <w:left w:val="nil"/>
              <w:bottom w:val="single" w:sz="4" w:space="0" w:color="auto"/>
              <w:right w:val="single" w:sz="4" w:space="0" w:color="auto"/>
            </w:tcBorders>
            <w:shd w:val="clear" w:color="auto" w:fill="auto"/>
            <w:noWrap/>
          </w:tcPr>
          <w:p w14:paraId="1927F0A4" w14:textId="1B89C080" w:rsidR="00F57ABD" w:rsidRPr="00133824" w:rsidRDefault="00F57ABD" w:rsidP="00F57ABD">
            <w:pPr>
              <w:widowControl/>
              <w:jc w:val="center"/>
            </w:pPr>
            <w:r w:rsidRPr="00F57ABD">
              <w:t>2026-08-21</w:t>
            </w:r>
          </w:p>
        </w:tc>
      </w:tr>
      <w:tr w:rsidR="00F57ABD" w14:paraId="7F986F41"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BC9DF8A" w14:textId="27ACB7D0" w:rsidR="00F57ABD" w:rsidRPr="00F57ABD" w:rsidRDefault="00F57ABD" w:rsidP="00F57ABD">
            <w:pPr>
              <w:widowControl/>
              <w:jc w:val="center"/>
              <w:rPr>
                <w:rFonts w:ascii="宋体" w:hAnsi="宋体"/>
                <w:sz w:val="24"/>
              </w:rPr>
            </w:pPr>
            <w:r w:rsidRPr="00F57ABD">
              <w:rPr>
                <w:rFonts w:ascii="宋体" w:hAnsi="宋体" w:hint="eastAsia"/>
                <w:color w:val="000000"/>
                <w:sz w:val="24"/>
              </w:rPr>
              <w:t>94</w:t>
            </w:r>
          </w:p>
        </w:tc>
        <w:tc>
          <w:tcPr>
            <w:tcW w:w="7726" w:type="dxa"/>
            <w:tcBorders>
              <w:top w:val="nil"/>
              <w:left w:val="nil"/>
              <w:bottom w:val="single" w:sz="4" w:space="0" w:color="auto"/>
              <w:right w:val="single" w:sz="4" w:space="0" w:color="auto"/>
            </w:tcBorders>
            <w:shd w:val="clear" w:color="auto" w:fill="auto"/>
            <w:noWrap/>
          </w:tcPr>
          <w:p w14:paraId="5A9156F8" w14:textId="17647AB1" w:rsidR="00F57ABD" w:rsidRPr="00A85879" w:rsidRDefault="00F57ABD" w:rsidP="00F57ABD">
            <w:pPr>
              <w:widowControl/>
              <w:jc w:val="left"/>
            </w:pPr>
            <w:r w:rsidRPr="00133824">
              <w:rPr>
                <w:rFonts w:hint="eastAsia"/>
              </w:rPr>
              <w:t>朱雀产业</w:t>
            </w:r>
            <w:proofErr w:type="gramStart"/>
            <w:r w:rsidRPr="00133824">
              <w:rPr>
                <w:rFonts w:hint="eastAsia"/>
              </w:rPr>
              <w:t>臻</w:t>
            </w:r>
            <w:proofErr w:type="gramEnd"/>
            <w:r w:rsidRPr="00133824">
              <w:rPr>
                <w:rFonts w:hint="eastAsia"/>
              </w:rPr>
              <w:t>选混合型证券投资</w:t>
            </w:r>
            <w:proofErr w:type="gramStart"/>
            <w:r w:rsidRPr="00133824">
              <w:rPr>
                <w:rFonts w:hint="eastAsia"/>
              </w:rPr>
              <w:t>基金基</w:t>
            </w:r>
            <w:proofErr w:type="gramEnd"/>
            <w:r w:rsidRPr="00133824">
              <w:rPr>
                <w:rFonts w:hint="eastAsia"/>
              </w:rPr>
              <w:t>金产品资料概要更新</w:t>
            </w:r>
          </w:p>
        </w:tc>
        <w:tc>
          <w:tcPr>
            <w:tcW w:w="1630" w:type="dxa"/>
            <w:tcBorders>
              <w:top w:val="nil"/>
              <w:left w:val="nil"/>
              <w:bottom w:val="single" w:sz="4" w:space="0" w:color="auto"/>
              <w:right w:val="single" w:sz="4" w:space="0" w:color="auto"/>
            </w:tcBorders>
            <w:shd w:val="clear" w:color="auto" w:fill="auto"/>
            <w:noWrap/>
          </w:tcPr>
          <w:p w14:paraId="14C25DE2" w14:textId="0079BD21" w:rsidR="00F57ABD" w:rsidRPr="00A85879" w:rsidRDefault="00F57ABD" w:rsidP="00F57ABD">
            <w:pPr>
              <w:widowControl/>
              <w:jc w:val="center"/>
            </w:pPr>
            <w:r w:rsidRPr="00133824">
              <w:t>2026-07-16</w:t>
            </w:r>
          </w:p>
        </w:tc>
      </w:tr>
      <w:tr w:rsidR="00F57ABD" w14:paraId="169CD32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5F10DBF" w14:textId="28146654" w:rsidR="00F57ABD" w:rsidRPr="00F57ABD" w:rsidRDefault="00F57ABD" w:rsidP="00F57ABD">
            <w:pPr>
              <w:widowControl/>
              <w:jc w:val="center"/>
              <w:rPr>
                <w:rFonts w:ascii="宋体" w:hAnsi="宋体"/>
                <w:sz w:val="24"/>
              </w:rPr>
            </w:pPr>
            <w:r w:rsidRPr="00F57ABD">
              <w:rPr>
                <w:rFonts w:ascii="宋体" w:hAnsi="宋体" w:hint="eastAsia"/>
                <w:color w:val="000000"/>
                <w:sz w:val="24"/>
              </w:rPr>
              <w:t>95</w:t>
            </w:r>
          </w:p>
        </w:tc>
        <w:tc>
          <w:tcPr>
            <w:tcW w:w="7726" w:type="dxa"/>
            <w:tcBorders>
              <w:top w:val="nil"/>
              <w:left w:val="nil"/>
              <w:bottom w:val="single" w:sz="4" w:space="0" w:color="auto"/>
              <w:right w:val="single" w:sz="4" w:space="0" w:color="auto"/>
            </w:tcBorders>
            <w:shd w:val="clear" w:color="auto" w:fill="auto"/>
            <w:noWrap/>
          </w:tcPr>
          <w:p w14:paraId="5BA9190C" w14:textId="0440C296" w:rsidR="00F57ABD" w:rsidRPr="00A85879" w:rsidRDefault="00F57ABD" w:rsidP="00F57ABD">
            <w:pPr>
              <w:widowControl/>
              <w:jc w:val="left"/>
            </w:pPr>
            <w:r w:rsidRPr="00133824">
              <w:rPr>
                <w:rFonts w:hint="eastAsia"/>
              </w:rPr>
              <w:t>朱雀产业</w:t>
            </w:r>
            <w:proofErr w:type="gramStart"/>
            <w:r w:rsidRPr="00133824">
              <w:rPr>
                <w:rFonts w:hint="eastAsia"/>
              </w:rPr>
              <w:t>臻</w:t>
            </w:r>
            <w:proofErr w:type="gramEnd"/>
            <w:r w:rsidRPr="00133824">
              <w:rPr>
                <w:rFonts w:hint="eastAsia"/>
              </w:rPr>
              <w:t>选混合型证券投资基金招募说明书（更新）</w:t>
            </w:r>
            <w:r w:rsidRPr="00133824">
              <w:rPr>
                <w:rFonts w:hint="eastAsia"/>
              </w:rPr>
              <w:t>-2026</w:t>
            </w:r>
            <w:r w:rsidRPr="00133824">
              <w:rPr>
                <w:rFonts w:hint="eastAsia"/>
              </w:rPr>
              <w:t>年第</w:t>
            </w:r>
            <w:r w:rsidRPr="00133824">
              <w:rPr>
                <w:rFonts w:hint="eastAsia"/>
              </w:rPr>
              <w:t>1</w:t>
            </w:r>
            <w:r w:rsidRPr="00133824">
              <w:rPr>
                <w:rFonts w:hint="eastAsia"/>
              </w:rPr>
              <w:t>号</w:t>
            </w:r>
          </w:p>
        </w:tc>
        <w:tc>
          <w:tcPr>
            <w:tcW w:w="1630" w:type="dxa"/>
            <w:tcBorders>
              <w:top w:val="nil"/>
              <w:left w:val="nil"/>
              <w:bottom w:val="single" w:sz="4" w:space="0" w:color="auto"/>
              <w:right w:val="single" w:sz="4" w:space="0" w:color="auto"/>
            </w:tcBorders>
            <w:shd w:val="clear" w:color="auto" w:fill="auto"/>
            <w:noWrap/>
          </w:tcPr>
          <w:p w14:paraId="0132D833" w14:textId="13033251" w:rsidR="00F57ABD" w:rsidRPr="00A85879" w:rsidRDefault="00F57ABD" w:rsidP="00F57ABD">
            <w:pPr>
              <w:widowControl/>
              <w:jc w:val="center"/>
            </w:pPr>
            <w:r w:rsidRPr="00133824">
              <w:t>2026-07-16</w:t>
            </w:r>
          </w:p>
        </w:tc>
      </w:tr>
      <w:tr w:rsidR="00F57ABD" w14:paraId="056C07AE"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C8F928B" w14:textId="31A66E19" w:rsidR="00F57ABD" w:rsidRPr="00F57ABD" w:rsidRDefault="00F57ABD" w:rsidP="00F57ABD">
            <w:pPr>
              <w:widowControl/>
              <w:jc w:val="center"/>
              <w:rPr>
                <w:rFonts w:ascii="宋体" w:hAnsi="宋体"/>
                <w:sz w:val="24"/>
              </w:rPr>
            </w:pPr>
            <w:r w:rsidRPr="00F57ABD">
              <w:rPr>
                <w:rFonts w:ascii="宋体" w:hAnsi="宋体" w:hint="eastAsia"/>
                <w:color w:val="000000"/>
                <w:sz w:val="24"/>
              </w:rPr>
              <w:t>96</w:t>
            </w:r>
          </w:p>
        </w:tc>
        <w:tc>
          <w:tcPr>
            <w:tcW w:w="7726" w:type="dxa"/>
            <w:tcBorders>
              <w:top w:val="nil"/>
              <w:left w:val="nil"/>
              <w:bottom w:val="single" w:sz="4" w:space="0" w:color="auto"/>
              <w:right w:val="single" w:sz="4" w:space="0" w:color="auto"/>
            </w:tcBorders>
            <w:shd w:val="clear" w:color="auto" w:fill="auto"/>
            <w:noWrap/>
          </w:tcPr>
          <w:p w14:paraId="6AF5C286" w14:textId="0CCA3644" w:rsidR="00F57ABD" w:rsidRPr="0089403A" w:rsidRDefault="00F57ABD" w:rsidP="00F57ABD">
            <w:pPr>
              <w:widowControl/>
              <w:jc w:val="left"/>
            </w:pPr>
            <w:r w:rsidRPr="00A85879">
              <w:rPr>
                <w:rFonts w:hint="eastAsia"/>
              </w:rPr>
              <w:t>朱雀产业</w:t>
            </w:r>
            <w:proofErr w:type="gramStart"/>
            <w:r w:rsidRPr="00A85879">
              <w:rPr>
                <w:rFonts w:hint="eastAsia"/>
              </w:rPr>
              <w:t>臻</w:t>
            </w:r>
            <w:proofErr w:type="gramEnd"/>
            <w:r w:rsidRPr="00A85879">
              <w:rPr>
                <w:rFonts w:hint="eastAsia"/>
              </w:rPr>
              <w:t>选混合型证券投资基金招募说明书（更新）</w:t>
            </w:r>
            <w:r w:rsidRPr="00A85879">
              <w:rPr>
                <w:rFonts w:hint="eastAsia"/>
              </w:rPr>
              <w:t>-2025</w:t>
            </w:r>
            <w:r w:rsidRPr="00A85879">
              <w:rPr>
                <w:rFonts w:hint="eastAsia"/>
              </w:rPr>
              <w:t>年第</w:t>
            </w:r>
            <w:r w:rsidRPr="00A85879">
              <w:rPr>
                <w:rFonts w:hint="eastAsia"/>
              </w:rPr>
              <w:t>1</w:t>
            </w:r>
            <w:r w:rsidRPr="00A85879">
              <w:rPr>
                <w:rFonts w:hint="eastAsia"/>
              </w:rPr>
              <w:t>号</w:t>
            </w:r>
          </w:p>
        </w:tc>
        <w:tc>
          <w:tcPr>
            <w:tcW w:w="1630" w:type="dxa"/>
            <w:tcBorders>
              <w:top w:val="nil"/>
              <w:left w:val="nil"/>
              <w:bottom w:val="single" w:sz="4" w:space="0" w:color="auto"/>
              <w:right w:val="single" w:sz="4" w:space="0" w:color="auto"/>
            </w:tcBorders>
            <w:shd w:val="clear" w:color="auto" w:fill="auto"/>
            <w:noWrap/>
          </w:tcPr>
          <w:p w14:paraId="71347B53" w14:textId="21C778B3" w:rsidR="00F57ABD" w:rsidRPr="00141265" w:rsidRDefault="00F57ABD" w:rsidP="00F57ABD">
            <w:pPr>
              <w:widowControl/>
              <w:jc w:val="center"/>
            </w:pPr>
            <w:r w:rsidRPr="00A85879">
              <w:t>2025-07-31</w:t>
            </w:r>
          </w:p>
        </w:tc>
      </w:tr>
      <w:tr w:rsidR="00F57ABD" w14:paraId="03D9FCAB"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C6F60AD" w14:textId="58DA76CB" w:rsidR="00F57ABD" w:rsidRPr="00F57ABD" w:rsidRDefault="00F57ABD" w:rsidP="00F57ABD">
            <w:pPr>
              <w:widowControl/>
              <w:jc w:val="center"/>
              <w:rPr>
                <w:rFonts w:ascii="宋体" w:hAnsi="宋体"/>
                <w:sz w:val="24"/>
              </w:rPr>
            </w:pPr>
            <w:r w:rsidRPr="00F57ABD">
              <w:rPr>
                <w:rFonts w:ascii="宋体" w:hAnsi="宋体" w:hint="eastAsia"/>
                <w:color w:val="000000"/>
                <w:sz w:val="24"/>
              </w:rPr>
              <w:t>97</w:t>
            </w:r>
          </w:p>
        </w:tc>
        <w:tc>
          <w:tcPr>
            <w:tcW w:w="7726" w:type="dxa"/>
            <w:tcBorders>
              <w:top w:val="nil"/>
              <w:left w:val="nil"/>
              <w:bottom w:val="single" w:sz="4" w:space="0" w:color="auto"/>
              <w:right w:val="single" w:sz="4" w:space="0" w:color="auto"/>
            </w:tcBorders>
            <w:shd w:val="clear" w:color="auto" w:fill="auto"/>
            <w:noWrap/>
          </w:tcPr>
          <w:p w14:paraId="77DC84BE" w14:textId="0BD2C9CF" w:rsidR="00F57ABD" w:rsidRPr="0089403A" w:rsidRDefault="00F57ABD" w:rsidP="00F57ABD">
            <w:pPr>
              <w:widowControl/>
              <w:jc w:val="left"/>
            </w:pPr>
            <w:r w:rsidRPr="00A85879">
              <w:rPr>
                <w:rFonts w:hint="eastAsia"/>
              </w:rPr>
              <w:t>朱雀产业</w:t>
            </w:r>
            <w:proofErr w:type="gramStart"/>
            <w:r w:rsidRPr="00A85879">
              <w:rPr>
                <w:rFonts w:hint="eastAsia"/>
              </w:rPr>
              <w:t>臻</w:t>
            </w:r>
            <w:proofErr w:type="gramEnd"/>
            <w:r w:rsidRPr="00A85879">
              <w:rPr>
                <w:rFonts w:hint="eastAsia"/>
              </w:rPr>
              <w:t>选混合型证券投资</w:t>
            </w:r>
            <w:proofErr w:type="gramStart"/>
            <w:r w:rsidRPr="00A85879">
              <w:rPr>
                <w:rFonts w:hint="eastAsia"/>
              </w:rPr>
              <w:t>基金基</w:t>
            </w:r>
            <w:proofErr w:type="gramEnd"/>
            <w:r w:rsidRPr="00A85879">
              <w:rPr>
                <w:rFonts w:hint="eastAsia"/>
              </w:rPr>
              <w:t>金产品资料概要更新</w:t>
            </w:r>
          </w:p>
        </w:tc>
        <w:tc>
          <w:tcPr>
            <w:tcW w:w="1630" w:type="dxa"/>
            <w:tcBorders>
              <w:top w:val="nil"/>
              <w:left w:val="nil"/>
              <w:bottom w:val="single" w:sz="4" w:space="0" w:color="auto"/>
              <w:right w:val="single" w:sz="4" w:space="0" w:color="auto"/>
            </w:tcBorders>
            <w:shd w:val="clear" w:color="auto" w:fill="auto"/>
            <w:noWrap/>
          </w:tcPr>
          <w:p w14:paraId="61DD5A31" w14:textId="64E5F508" w:rsidR="00F57ABD" w:rsidRPr="00141265" w:rsidRDefault="00F57ABD" w:rsidP="00F57ABD">
            <w:pPr>
              <w:widowControl/>
              <w:jc w:val="center"/>
            </w:pPr>
            <w:r w:rsidRPr="00A85879">
              <w:t>2025-07-31</w:t>
            </w:r>
          </w:p>
        </w:tc>
      </w:tr>
      <w:tr w:rsidR="00F57ABD" w14:paraId="328FE559"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8BB6442" w14:textId="500C2F0C"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98</w:t>
            </w:r>
          </w:p>
        </w:tc>
        <w:tc>
          <w:tcPr>
            <w:tcW w:w="7726" w:type="dxa"/>
            <w:tcBorders>
              <w:top w:val="nil"/>
              <w:left w:val="nil"/>
              <w:bottom w:val="single" w:sz="4" w:space="0" w:color="auto"/>
              <w:right w:val="single" w:sz="4" w:space="0" w:color="auto"/>
            </w:tcBorders>
            <w:shd w:val="clear" w:color="auto" w:fill="auto"/>
            <w:noWrap/>
          </w:tcPr>
          <w:p w14:paraId="48021DCE" w14:textId="0312BF5A"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金产品资料概要更新</w:t>
            </w:r>
          </w:p>
        </w:tc>
        <w:tc>
          <w:tcPr>
            <w:tcW w:w="1630" w:type="dxa"/>
            <w:tcBorders>
              <w:top w:val="nil"/>
              <w:left w:val="nil"/>
              <w:bottom w:val="single" w:sz="4" w:space="0" w:color="auto"/>
              <w:right w:val="single" w:sz="4" w:space="0" w:color="auto"/>
            </w:tcBorders>
            <w:shd w:val="clear" w:color="auto" w:fill="auto"/>
            <w:noWrap/>
          </w:tcPr>
          <w:p w14:paraId="143E3BFC" w14:textId="014399D8" w:rsidR="00F57ABD" w:rsidRDefault="00F57ABD" w:rsidP="00F57ABD">
            <w:pPr>
              <w:widowControl/>
              <w:jc w:val="center"/>
              <w:rPr>
                <w:rFonts w:ascii="宋体" w:hAnsi="宋体" w:cs="宋体"/>
                <w:color w:val="000000"/>
                <w:kern w:val="0"/>
                <w:sz w:val="24"/>
              </w:rPr>
            </w:pPr>
            <w:r w:rsidRPr="00141265">
              <w:t>2024-08-07</w:t>
            </w:r>
          </w:p>
        </w:tc>
      </w:tr>
      <w:tr w:rsidR="00F57ABD" w14:paraId="6573F14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55E6704" w14:textId="7E75CF60"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99</w:t>
            </w:r>
          </w:p>
        </w:tc>
        <w:tc>
          <w:tcPr>
            <w:tcW w:w="7726" w:type="dxa"/>
            <w:tcBorders>
              <w:top w:val="nil"/>
              <w:left w:val="nil"/>
              <w:bottom w:val="single" w:sz="4" w:space="0" w:color="auto"/>
              <w:right w:val="single" w:sz="4" w:space="0" w:color="auto"/>
            </w:tcBorders>
            <w:shd w:val="clear" w:color="auto" w:fill="auto"/>
            <w:noWrap/>
          </w:tcPr>
          <w:p w14:paraId="21A2DC92" w14:textId="37D97DB0"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w:t>
            </w:r>
            <w:r w:rsidRPr="0089403A">
              <w:rPr>
                <w:rFonts w:hint="eastAsia"/>
              </w:rPr>
              <w:t>-2024</w:t>
            </w:r>
            <w:r w:rsidRPr="0089403A">
              <w:rPr>
                <w:rFonts w:hint="eastAsia"/>
              </w:rPr>
              <w:t>年第</w:t>
            </w:r>
            <w:r w:rsidRPr="0089403A">
              <w:rPr>
                <w:rFonts w:hint="eastAsia"/>
              </w:rPr>
              <w:t>2</w:t>
            </w:r>
            <w:r w:rsidRPr="0089403A">
              <w:rPr>
                <w:rFonts w:hint="eastAsia"/>
              </w:rPr>
              <w:t>号</w:t>
            </w:r>
          </w:p>
        </w:tc>
        <w:tc>
          <w:tcPr>
            <w:tcW w:w="1630" w:type="dxa"/>
            <w:tcBorders>
              <w:top w:val="nil"/>
              <w:left w:val="nil"/>
              <w:bottom w:val="single" w:sz="4" w:space="0" w:color="auto"/>
              <w:right w:val="single" w:sz="4" w:space="0" w:color="auto"/>
            </w:tcBorders>
            <w:shd w:val="clear" w:color="auto" w:fill="auto"/>
            <w:noWrap/>
          </w:tcPr>
          <w:p w14:paraId="7FF497E4" w14:textId="2DB79C51" w:rsidR="00F57ABD" w:rsidRDefault="00F57ABD" w:rsidP="00F57ABD">
            <w:pPr>
              <w:widowControl/>
              <w:jc w:val="center"/>
              <w:rPr>
                <w:rFonts w:ascii="宋体" w:hAnsi="宋体" w:cs="宋体"/>
                <w:color w:val="000000"/>
                <w:kern w:val="0"/>
                <w:sz w:val="24"/>
              </w:rPr>
            </w:pPr>
            <w:r w:rsidRPr="00141265">
              <w:t>2024-08-07</w:t>
            </w:r>
          </w:p>
        </w:tc>
      </w:tr>
      <w:tr w:rsidR="00F57ABD" w14:paraId="020A0A80"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BFBF68E" w14:textId="08A184EC"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100</w:t>
            </w:r>
          </w:p>
        </w:tc>
        <w:tc>
          <w:tcPr>
            <w:tcW w:w="7726" w:type="dxa"/>
            <w:tcBorders>
              <w:top w:val="nil"/>
              <w:left w:val="nil"/>
              <w:bottom w:val="single" w:sz="4" w:space="0" w:color="auto"/>
              <w:right w:val="single" w:sz="4" w:space="0" w:color="auto"/>
            </w:tcBorders>
            <w:shd w:val="clear" w:color="auto" w:fill="auto"/>
            <w:noWrap/>
          </w:tcPr>
          <w:p w14:paraId="7C2E5D2E" w14:textId="7C70D104"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金产品资料概要更新</w:t>
            </w:r>
          </w:p>
        </w:tc>
        <w:tc>
          <w:tcPr>
            <w:tcW w:w="1630" w:type="dxa"/>
            <w:tcBorders>
              <w:top w:val="nil"/>
              <w:left w:val="nil"/>
              <w:bottom w:val="single" w:sz="4" w:space="0" w:color="auto"/>
              <w:right w:val="single" w:sz="4" w:space="0" w:color="auto"/>
            </w:tcBorders>
            <w:shd w:val="clear" w:color="auto" w:fill="auto"/>
            <w:noWrap/>
          </w:tcPr>
          <w:p w14:paraId="19B9A560" w14:textId="5F40C8B6" w:rsidR="00F57ABD" w:rsidRDefault="00F57ABD" w:rsidP="00F57ABD">
            <w:pPr>
              <w:widowControl/>
              <w:jc w:val="center"/>
              <w:rPr>
                <w:rFonts w:ascii="宋体" w:hAnsi="宋体" w:cs="宋体"/>
                <w:color w:val="000000"/>
                <w:kern w:val="0"/>
                <w:sz w:val="24"/>
              </w:rPr>
            </w:pPr>
            <w:r w:rsidRPr="00141265">
              <w:t>2024-06-13</w:t>
            </w:r>
          </w:p>
        </w:tc>
      </w:tr>
      <w:tr w:rsidR="00F57ABD" w14:paraId="758F52F7"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64193EF" w14:textId="37750CB4"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101</w:t>
            </w:r>
          </w:p>
        </w:tc>
        <w:tc>
          <w:tcPr>
            <w:tcW w:w="7726" w:type="dxa"/>
            <w:tcBorders>
              <w:top w:val="nil"/>
              <w:left w:val="nil"/>
              <w:bottom w:val="single" w:sz="4" w:space="0" w:color="auto"/>
              <w:right w:val="single" w:sz="4" w:space="0" w:color="auto"/>
            </w:tcBorders>
            <w:shd w:val="clear" w:color="auto" w:fill="auto"/>
            <w:noWrap/>
          </w:tcPr>
          <w:p w14:paraId="2CD523F3" w14:textId="4508DAF9"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w:t>
            </w:r>
            <w:r w:rsidRPr="0089403A">
              <w:rPr>
                <w:rFonts w:hint="eastAsia"/>
              </w:rPr>
              <w:t>-2024</w:t>
            </w:r>
            <w:r w:rsidRPr="0089403A">
              <w:rPr>
                <w:rFonts w:hint="eastAsia"/>
              </w:rPr>
              <w:t>年第</w:t>
            </w:r>
            <w:r w:rsidRPr="0089403A">
              <w:rPr>
                <w:rFonts w:hint="eastAsia"/>
              </w:rPr>
              <w:t>1</w:t>
            </w:r>
            <w:r w:rsidRPr="0089403A">
              <w:rPr>
                <w:rFonts w:hint="eastAsia"/>
              </w:rPr>
              <w:t>号</w:t>
            </w:r>
          </w:p>
        </w:tc>
        <w:tc>
          <w:tcPr>
            <w:tcW w:w="1630" w:type="dxa"/>
            <w:tcBorders>
              <w:top w:val="nil"/>
              <w:left w:val="nil"/>
              <w:bottom w:val="single" w:sz="4" w:space="0" w:color="auto"/>
              <w:right w:val="single" w:sz="4" w:space="0" w:color="auto"/>
            </w:tcBorders>
            <w:shd w:val="clear" w:color="auto" w:fill="auto"/>
            <w:noWrap/>
          </w:tcPr>
          <w:p w14:paraId="07D0EFE2" w14:textId="7FC56E5A" w:rsidR="00F57ABD" w:rsidRDefault="00F57ABD" w:rsidP="00F57ABD">
            <w:pPr>
              <w:widowControl/>
              <w:jc w:val="center"/>
              <w:rPr>
                <w:rFonts w:ascii="宋体" w:hAnsi="宋体" w:cs="宋体"/>
                <w:color w:val="000000"/>
                <w:kern w:val="0"/>
                <w:sz w:val="24"/>
              </w:rPr>
            </w:pPr>
            <w:r w:rsidRPr="00141265">
              <w:t>2024-06-13</w:t>
            </w:r>
          </w:p>
        </w:tc>
      </w:tr>
      <w:tr w:rsidR="00F57ABD" w14:paraId="60FDADB3"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66ED1D5" w14:textId="20752D5C"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102</w:t>
            </w:r>
          </w:p>
        </w:tc>
        <w:tc>
          <w:tcPr>
            <w:tcW w:w="7726" w:type="dxa"/>
            <w:tcBorders>
              <w:top w:val="nil"/>
              <w:left w:val="nil"/>
              <w:bottom w:val="single" w:sz="4" w:space="0" w:color="auto"/>
              <w:right w:val="single" w:sz="4" w:space="0" w:color="auto"/>
            </w:tcBorders>
            <w:shd w:val="clear" w:color="auto" w:fill="auto"/>
            <w:noWrap/>
          </w:tcPr>
          <w:p w14:paraId="347494D9" w14:textId="05EBD046"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选混合型证券投资基金托管协议（更新）</w:t>
            </w:r>
          </w:p>
        </w:tc>
        <w:tc>
          <w:tcPr>
            <w:tcW w:w="1630" w:type="dxa"/>
            <w:tcBorders>
              <w:top w:val="nil"/>
              <w:left w:val="nil"/>
              <w:bottom w:val="single" w:sz="4" w:space="0" w:color="auto"/>
              <w:right w:val="single" w:sz="4" w:space="0" w:color="auto"/>
            </w:tcBorders>
            <w:shd w:val="clear" w:color="auto" w:fill="auto"/>
            <w:noWrap/>
          </w:tcPr>
          <w:p w14:paraId="777F12B5" w14:textId="42A1C9D2" w:rsidR="00F57ABD" w:rsidRDefault="00F57ABD" w:rsidP="00F57ABD">
            <w:pPr>
              <w:widowControl/>
              <w:jc w:val="center"/>
              <w:rPr>
                <w:rFonts w:ascii="宋体" w:hAnsi="宋体" w:cs="宋体"/>
                <w:color w:val="000000"/>
                <w:kern w:val="0"/>
                <w:sz w:val="24"/>
              </w:rPr>
            </w:pPr>
            <w:r w:rsidRPr="00141265">
              <w:t>2023-07-24</w:t>
            </w:r>
          </w:p>
        </w:tc>
      </w:tr>
      <w:tr w:rsidR="00F57ABD" w14:paraId="5EA4035E"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EFDA748" w14:textId="4A59DF57"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103</w:t>
            </w:r>
          </w:p>
        </w:tc>
        <w:tc>
          <w:tcPr>
            <w:tcW w:w="7726" w:type="dxa"/>
            <w:tcBorders>
              <w:top w:val="nil"/>
              <w:left w:val="nil"/>
              <w:bottom w:val="single" w:sz="4" w:space="0" w:color="auto"/>
              <w:right w:val="single" w:sz="4" w:space="0" w:color="auto"/>
            </w:tcBorders>
            <w:shd w:val="clear" w:color="auto" w:fill="auto"/>
            <w:noWrap/>
          </w:tcPr>
          <w:p w14:paraId="64076DA4" w14:textId="4A138405"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金合同（更新）</w:t>
            </w:r>
          </w:p>
        </w:tc>
        <w:tc>
          <w:tcPr>
            <w:tcW w:w="1630" w:type="dxa"/>
            <w:tcBorders>
              <w:top w:val="nil"/>
              <w:left w:val="nil"/>
              <w:bottom w:val="single" w:sz="4" w:space="0" w:color="auto"/>
              <w:right w:val="single" w:sz="4" w:space="0" w:color="auto"/>
            </w:tcBorders>
            <w:shd w:val="clear" w:color="auto" w:fill="auto"/>
            <w:noWrap/>
          </w:tcPr>
          <w:p w14:paraId="0C06096B" w14:textId="69BC8842" w:rsidR="00F57ABD" w:rsidRDefault="00F57ABD" w:rsidP="00F57ABD">
            <w:pPr>
              <w:widowControl/>
              <w:jc w:val="center"/>
              <w:rPr>
                <w:rFonts w:ascii="宋体" w:hAnsi="宋体" w:cs="宋体"/>
                <w:color w:val="000000"/>
                <w:kern w:val="0"/>
                <w:sz w:val="24"/>
              </w:rPr>
            </w:pPr>
            <w:r w:rsidRPr="00141265">
              <w:t>2023-07-24</w:t>
            </w:r>
          </w:p>
        </w:tc>
      </w:tr>
      <w:tr w:rsidR="00F57ABD" w14:paraId="435AEE52"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5222183" w14:textId="74D9D9E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104</w:t>
            </w:r>
          </w:p>
        </w:tc>
        <w:tc>
          <w:tcPr>
            <w:tcW w:w="7726" w:type="dxa"/>
            <w:tcBorders>
              <w:top w:val="nil"/>
              <w:left w:val="nil"/>
              <w:bottom w:val="single" w:sz="4" w:space="0" w:color="auto"/>
              <w:right w:val="single" w:sz="4" w:space="0" w:color="auto"/>
            </w:tcBorders>
            <w:shd w:val="clear" w:color="auto" w:fill="auto"/>
            <w:noWrap/>
          </w:tcPr>
          <w:p w14:paraId="196C7BCE" w14:textId="03FF05A8"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w:t>
            </w:r>
            <w:r w:rsidRPr="0089403A">
              <w:rPr>
                <w:rFonts w:hint="eastAsia"/>
              </w:rPr>
              <w:t>-2023</w:t>
            </w:r>
            <w:r w:rsidRPr="0089403A">
              <w:rPr>
                <w:rFonts w:hint="eastAsia"/>
              </w:rPr>
              <w:t>年第</w:t>
            </w:r>
            <w:r w:rsidRPr="0089403A">
              <w:rPr>
                <w:rFonts w:hint="eastAsia"/>
              </w:rPr>
              <w:t>1</w:t>
            </w:r>
            <w:r w:rsidRPr="0089403A">
              <w:rPr>
                <w:rFonts w:hint="eastAsia"/>
              </w:rPr>
              <w:t>号</w:t>
            </w:r>
          </w:p>
        </w:tc>
        <w:tc>
          <w:tcPr>
            <w:tcW w:w="1630" w:type="dxa"/>
            <w:tcBorders>
              <w:top w:val="nil"/>
              <w:left w:val="nil"/>
              <w:bottom w:val="single" w:sz="4" w:space="0" w:color="auto"/>
              <w:right w:val="single" w:sz="4" w:space="0" w:color="auto"/>
            </w:tcBorders>
            <w:shd w:val="clear" w:color="auto" w:fill="auto"/>
            <w:noWrap/>
          </w:tcPr>
          <w:p w14:paraId="71D63FCF" w14:textId="6988B148" w:rsidR="00F57ABD" w:rsidRDefault="00F57ABD" w:rsidP="00F57ABD">
            <w:pPr>
              <w:widowControl/>
              <w:jc w:val="center"/>
              <w:rPr>
                <w:rFonts w:ascii="宋体" w:hAnsi="宋体" w:cs="宋体"/>
                <w:color w:val="000000"/>
                <w:kern w:val="0"/>
                <w:sz w:val="24"/>
              </w:rPr>
            </w:pPr>
            <w:r w:rsidRPr="00141265">
              <w:t>2023-07-24</w:t>
            </w:r>
          </w:p>
        </w:tc>
      </w:tr>
      <w:tr w:rsidR="00F57ABD" w14:paraId="2BA89258"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2759F07" w14:textId="648A6AA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105</w:t>
            </w:r>
          </w:p>
        </w:tc>
        <w:tc>
          <w:tcPr>
            <w:tcW w:w="7726" w:type="dxa"/>
            <w:tcBorders>
              <w:top w:val="nil"/>
              <w:left w:val="nil"/>
              <w:bottom w:val="single" w:sz="4" w:space="0" w:color="auto"/>
              <w:right w:val="single" w:sz="4" w:space="0" w:color="auto"/>
            </w:tcBorders>
            <w:shd w:val="clear" w:color="auto" w:fill="auto"/>
            <w:noWrap/>
          </w:tcPr>
          <w:p w14:paraId="45627DD9" w14:textId="4E18B674"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金产品资料概要更新</w:t>
            </w:r>
          </w:p>
        </w:tc>
        <w:tc>
          <w:tcPr>
            <w:tcW w:w="1630" w:type="dxa"/>
            <w:tcBorders>
              <w:top w:val="nil"/>
              <w:left w:val="nil"/>
              <w:bottom w:val="single" w:sz="4" w:space="0" w:color="auto"/>
              <w:right w:val="single" w:sz="4" w:space="0" w:color="auto"/>
            </w:tcBorders>
            <w:shd w:val="clear" w:color="auto" w:fill="auto"/>
            <w:noWrap/>
          </w:tcPr>
          <w:p w14:paraId="6E82D169" w14:textId="251C5017" w:rsidR="00F57ABD" w:rsidRDefault="00F57ABD" w:rsidP="00F57ABD">
            <w:pPr>
              <w:widowControl/>
              <w:jc w:val="center"/>
              <w:rPr>
                <w:rFonts w:ascii="宋体" w:hAnsi="宋体" w:cs="宋体"/>
                <w:color w:val="000000"/>
                <w:kern w:val="0"/>
                <w:sz w:val="24"/>
              </w:rPr>
            </w:pPr>
            <w:r w:rsidRPr="00141265">
              <w:t>2023-07-24</w:t>
            </w:r>
          </w:p>
        </w:tc>
      </w:tr>
      <w:tr w:rsidR="00F57ABD" w14:paraId="5DECD8E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D0314B4" w14:textId="2D2B92B8"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106</w:t>
            </w:r>
          </w:p>
        </w:tc>
        <w:tc>
          <w:tcPr>
            <w:tcW w:w="7726" w:type="dxa"/>
            <w:tcBorders>
              <w:top w:val="nil"/>
              <w:left w:val="nil"/>
              <w:bottom w:val="single" w:sz="4" w:space="0" w:color="auto"/>
              <w:right w:val="single" w:sz="4" w:space="0" w:color="auto"/>
            </w:tcBorders>
            <w:shd w:val="clear" w:color="auto" w:fill="auto"/>
            <w:noWrap/>
          </w:tcPr>
          <w:p w14:paraId="7A3E3C51" w14:textId="147BE862"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w:t>
            </w:r>
            <w:r w:rsidRPr="0089403A">
              <w:rPr>
                <w:rFonts w:hint="eastAsia"/>
              </w:rPr>
              <w:t>-2022</w:t>
            </w:r>
            <w:r w:rsidRPr="0089403A">
              <w:rPr>
                <w:rFonts w:hint="eastAsia"/>
              </w:rPr>
              <w:t>年第</w:t>
            </w:r>
            <w:r w:rsidRPr="0089403A">
              <w:rPr>
                <w:rFonts w:hint="eastAsia"/>
              </w:rPr>
              <w:t>1</w:t>
            </w:r>
            <w:r w:rsidRPr="0089403A">
              <w:rPr>
                <w:rFonts w:hint="eastAsia"/>
              </w:rPr>
              <w:t>号</w:t>
            </w:r>
          </w:p>
        </w:tc>
        <w:tc>
          <w:tcPr>
            <w:tcW w:w="1630" w:type="dxa"/>
            <w:tcBorders>
              <w:top w:val="nil"/>
              <w:left w:val="nil"/>
              <w:bottom w:val="single" w:sz="4" w:space="0" w:color="auto"/>
              <w:right w:val="single" w:sz="4" w:space="0" w:color="auto"/>
            </w:tcBorders>
            <w:shd w:val="clear" w:color="auto" w:fill="auto"/>
            <w:noWrap/>
          </w:tcPr>
          <w:p w14:paraId="409CE43D" w14:textId="708EBABC" w:rsidR="00F57ABD" w:rsidRDefault="00F57ABD" w:rsidP="00F57ABD">
            <w:pPr>
              <w:widowControl/>
              <w:jc w:val="center"/>
              <w:rPr>
                <w:rFonts w:ascii="宋体" w:hAnsi="宋体" w:cs="宋体"/>
                <w:color w:val="000000"/>
                <w:kern w:val="0"/>
                <w:sz w:val="24"/>
              </w:rPr>
            </w:pPr>
            <w:r w:rsidRPr="00141265">
              <w:t>2022-12-07</w:t>
            </w:r>
          </w:p>
        </w:tc>
      </w:tr>
      <w:tr w:rsidR="00F57ABD" w14:paraId="38F726A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2498FC6" w14:textId="7BA859D5"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107</w:t>
            </w:r>
          </w:p>
        </w:tc>
        <w:tc>
          <w:tcPr>
            <w:tcW w:w="7726" w:type="dxa"/>
            <w:tcBorders>
              <w:top w:val="nil"/>
              <w:left w:val="nil"/>
              <w:bottom w:val="single" w:sz="4" w:space="0" w:color="auto"/>
              <w:right w:val="single" w:sz="4" w:space="0" w:color="auto"/>
            </w:tcBorders>
            <w:shd w:val="clear" w:color="auto" w:fill="auto"/>
            <w:noWrap/>
          </w:tcPr>
          <w:p w14:paraId="3B1D7CD1" w14:textId="198F16CE"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金产品资料概要更新</w:t>
            </w:r>
          </w:p>
        </w:tc>
        <w:tc>
          <w:tcPr>
            <w:tcW w:w="1630" w:type="dxa"/>
            <w:tcBorders>
              <w:top w:val="nil"/>
              <w:left w:val="nil"/>
              <w:bottom w:val="single" w:sz="4" w:space="0" w:color="auto"/>
              <w:right w:val="single" w:sz="4" w:space="0" w:color="auto"/>
            </w:tcBorders>
            <w:shd w:val="clear" w:color="auto" w:fill="auto"/>
            <w:noWrap/>
          </w:tcPr>
          <w:p w14:paraId="754A2840" w14:textId="216A8D3E" w:rsidR="00F57ABD" w:rsidRDefault="00F57ABD" w:rsidP="00F57ABD">
            <w:pPr>
              <w:widowControl/>
              <w:jc w:val="center"/>
              <w:rPr>
                <w:rFonts w:ascii="宋体" w:hAnsi="宋体" w:cs="宋体"/>
                <w:color w:val="000000"/>
                <w:kern w:val="0"/>
                <w:sz w:val="24"/>
              </w:rPr>
            </w:pPr>
            <w:r w:rsidRPr="00141265">
              <w:t>2022-12-07</w:t>
            </w:r>
          </w:p>
        </w:tc>
      </w:tr>
      <w:tr w:rsidR="00F57ABD" w14:paraId="17DF7BC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C926A78" w14:textId="048B3B0A"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108</w:t>
            </w:r>
          </w:p>
        </w:tc>
        <w:tc>
          <w:tcPr>
            <w:tcW w:w="7726" w:type="dxa"/>
            <w:tcBorders>
              <w:top w:val="nil"/>
              <w:left w:val="nil"/>
              <w:bottom w:val="single" w:sz="4" w:space="0" w:color="auto"/>
              <w:right w:val="single" w:sz="4" w:space="0" w:color="auto"/>
            </w:tcBorders>
            <w:shd w:val="clear" w:color="auto" w:fill="auto"/>
            <w:noWrap/>
          </w:tcPr>
          <w:p w14:paraId="180B7854" w14:textId="5173F62B"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w:t>
            </w:r>
            <w:r w:rsidRPr="0089403A">
              <w:rPr>
                <w:rFonts w:hint="eastAsia"/>
              </w:rPr>
              <w:t>-2021</w:t>
            </w:r>
            <w:r w:rsidRPr="0089403A">
              <w:rPr>
                <w:rFonts w:hint="eastAsia"/>
              </w:rPr>
              <w:t>年第</w:t>
            </w:r>
            <w:r w:rsidRPr="0089403A">
              <w:rPr>
                <w:rFonts w:hint="eastAsia"/>
              </w:rPr>
              <w:t>2</w:t>
            </w:r>
            <w:r w:rsidRPr="0089403A">
              <w:rPr>
                <w:rFonts w:hint="eastAsia"/>
              </w:rPr>
              <w:t>号</w:t>
            </w:r>
          </w:p>
        </w:tc>
        <w:tc>
          <w:tcPr>
            <w:tcW w:w="1630" w:type="dxa"/>
            <w:tcBorders>
              <w:top w:val="nil"/>
              <w:left w:val="nil"/>
              <w:bottom w:val="single" w:sz="4" w:space="0" w:color="auto"/>
              <w:right w:val="single" w:sz="4" w:space="0" w:color="auto"/>
            </w:tcBorders>
            <w:shd w:val="clear" w:color="auto" w:fill="auto"/>
            <w:noWrap/>
          </w:tcPr>
          <w:p w14:paraId="0B13F660" w14:textId="68B7B4D9" w:rsidR="00F57ABD" w:rsidRDefault="00F57ABD" w:rsidP="00F57ABD">
            <w:pPr>
              <w:widowControl/>
              <w:jc w:val="center"/>
              <w:rPr>
                <w:rFonts w:ascii="宋体" w:hAnsi="宋体" w:cs="宋体"/>
                <w:color w:val="000000"/>
                <w:kern w:val="0"/>
                <w:sz w:val="24"/>
              </w:rPr>
            </w:pPr>
            <w:r w:rsidRPr="00141265">
              <w:t>2021-12-10</w:t>
            </w:r>
          </w:p>
        </w:tc>
      </w:tr>
      <w:tr w:rsidR="00F57ABD" w14:paraId="3E05CBB5"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39C0590" w14:textId="6C64AF72"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109</w:t>
            </w:r>
          </w:p>
        </w:tc>
        <w:tc>
          <w:tcPr>
            <w:tcW w:w="7726" w:type="dxa"/>
            <w:tcBorders>
              <w:top w:val="nil"/>
              <w:left w:val="nil"/>
              <w:bottom w:val="single" w:sz="4" w:space="0" w:color="auto"/>
              <w:right w:val="single" w:sz="4" w:space="0" w:color="auto"/>
            </w:tcBorders>
            <w:shd w:val="clear" w:color="auto" w:fill="auto"/>
            <w:noWrap/>
          </w:tcPr>
          <w:p w14:paraId="438E4CB7" w14:textId="5CFD97E7"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金产品资料概要更新</w:t>
            </w:r>
          </w:p>
        </w:tc>
        <w:tc>
          <w:tcPr>
            <w:tcW w:w="1630" w:type="dxa"/>
            <w:tcBorders>
              <w:top w:val="nil"/>
              <w:left w:val="nil"/>
              <w:bottom w:val="single" w:sz="4" w:space="0" w:color="auto"/>
              <w:right w:val="single" w:sz="4" w:space="0" w:color="auto"/>
            </w:tcBorders>
            <w:shd w:val="clear" w:color="auto" w:fill="auto"/>
            <w:noWrap/>
          </w:tcPr>
          <w:p w14:paraId="4521D56F" w14:textId="07B959BB" w:rsidR="00F57ABD" w:rsidRDefault="00F57ABD" w:rsidP="00F57ABD">
            <w:pPr>
              <w:widowControl/>
              <w:jc w:val="center"/>
              <w:rPr>
                <w:rFonts w:ascii="宋体" w:hAnsi="宋体" w:cs="宋体"/>
                <w:color w:val="000000"/>
                <w:kern w:val="0"/>
                <w:sz w:val="24"/>
              </w:rPr>
            </w:pPr>
            <w:r w:rsidRPr="00141265">
              <w:t>2021-12-10</w:t>
            </w:r>
          </w:p>
        </w:tc>
      </w:tr>
      <w:tr w:rsidR="00F57ABD" w14:paraId="40F5BF03"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F64A40F" w14:textId="6DAB86D2"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110</w:t>
            </w:r>
          </w:p>
        </w:tc>
        <w:tc>
          <w:tcPr>
            <w:tcW w:w="7726" w:type="dxa"/>
            <w:tcBorders>
              <w:top w:val="nil"/>
              <w:left w:val="nil"/>
              <w:bottom w:val="single" w:sz="4" w:space="0" w:color="auto"/>
              <w:right w:val="single" w:sz="4" w:space="0" w:color="auto"/>
            </w:tcBorders>
            <w:shd w:val="clear" w:color="auto" w:fill="auto"/>
            <w:noWrap/>
          </w:tcPr>
          <w:p w14:paraId="52F6D453" w14:textId="50C23906"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w:t>
            </w:r>
            <w:r w:rsidRPr="0089403A">
              <w:rPr>
                <w:rFonts w:hint="eastAsia"/>
              </w:rPr>
              <w:t>-2021</w:t>
            </w:r>
            <w:r w:rsidRPr="0089403A">
              <w:rPr>
                <w:rFonts w:hint="eastAsia"/>
              </w:rPr>
              <w:t>年第</w:t>
            </w:r>
            <w:r w:rsidRPr="0089403A">
              <w:rPr>
                <w:rFonts w:hint="eastAsia"/>
              </w:rPr>
              <w:t>1</w:t>
            </w:r>
            <w:r w:rsidRPr="0089403A">
              <w:rPr>
                <w:rFonts w:hint="eastAsia"/>
              </w:rPr>
              <w:t>号</w:t>
            </w:r>
          </w:p>
        </w:tc>
        <w:tc>
          <w:tcPr>
            <w:tcW w:w="1630" w:type="dxa"/>
            <w:tcBorders>
              <w:top w:val="nil"/>
              <w:left w:val="nil"/>
              <w:bottom w:val="single" w:sz="4" w:space="0" w:color="auto"/>
              <w:right w:val="single" w:sz="4" w:space="0" w:color="auto"/>
            </w:tcBorders>
            <w:shd w:val="clear" w:color="auto" w:fill="auto"/>
            <w:noWrap/>
          </w:tcPr>
          <w:p w14:paraId="623C5E2D" w14:textId="46128C65" w:rsidR="00F57ABD" w:rsidRDefault="00F57ABD" w:rsidP="00F57ABD">
            <w:pPr>
              <w:widowControl/>
              <w:jc w:val="center"/>
              <w:rPr>
                <w:rFonts w:ascii="宋体" w:hAnsi="宋体" w:cs="宋体"/>
                <w:color w:val="000000"/>
                <w:kern w:val="0"/>
                <w:sz w:val="24"/>
              </w:rPr>
            </w:pPr>
            <w:r w:rsidRPr="00141265">
              <w:t>2021-06-25</w:t>
            </w:r>
          </w:p>
        </w:tc>
      </w:tr>
      <w:tr w:rsidR="00F57ABD" w14:paraId="2F6324F2"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EADA7B0" w14:textId="68602165"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111</w:t>
            </w:r>
          </w:p>
        </w:tc>
        <w:tc>
          <w:tcPr>
            <w:tcW w:w="7726" w:type="dxa"/>
            <w:tcBorders>
              <w:top w:val="nil"/>
              <w:left w:val="nil"/>
              <w:bottom w:val="single" w:sz="4" w:space="0" w:color="auto"/>
              <w:right w:val="single" w:sz="4" w:space="0" w:color="auto"/>
            </w:tcBorders>
            <w:shd w:val="clear" w:color="auto" w:fill="auto"/>
            <w:noWrap/>
          </w:tcPr>
          <w:p w14:paraId="5706DD5C" w14:textId="4B97B613"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金产品资料概要更新</w:t>
            </w:r>
            <w:r w:rsidRPr="0089403A">
              <w:rPr>
                <w:rFonts w:hint="eastAsia"/>
              </w:rPr>
              <w:t>-2021</w:t>
            </w:r>
          </w:p>
        </w:tc>
        <w:tc>
          <w:tcPr>
            <w:tcW w:w="1630" w:type="dxa"/>
            <w:tcBorders>
              <w:top w:val="nil"/>
              <w:left w:val="nil"/>
              <w:bottom w:val="single" w:sz="4" w:space="0" w:color="auto"/>
              <w:right w:val="single" w:sz="4" w:space="0" w:color="auto"/>
            </w:tcBorders>
            <w:shd w:val="clear" w:color="auto" w:fill="auto"/>
            <w:noWrap/>
          </w:tcPr>
          <w:p w14:paraId="3D66E4C5" w14:textId="1630D192" w:rsidR="00F57ABD" w:rsidRDefault="00F57ABD" w:rsidP="00F57ABD">
            <w:pPr>
              <w:widowControl/>
              <w:jc w:val="center"/>
              <w:rPr>
                <w:rFonts w:ascii="宋体" w:hAnsi="宋体" w:cs="宋体"/>
                <w:color w:val="000000"/>
                <w:kern w:val="0"/>
                <w:sz w:val="24"/>
              </w:rPr>
            </w:pPr>
            <w:r w:rsidRPr="00141265">
              <w:t>2021-06-25</w:t>
            </w:r>
          </w:p>
        </w:tc>
      </w:tr>
      <w:tr w:rsidR="00F57ABD" w14:paraId="1BBDC064"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98D276B" w14:textId="4AEE0A50" w:rsidR="00F57ABD" w:rsidRPr="00F57ABD" w:rsidRDefault="00F57ABD" w:rsidP="00F57ABD">
            <w:pPr>
              <w:widowControl/>
              <w:jc w:val="center"/>
              <w:rPr>
                <w:rFonts w:ascii="宋体" w:hAnsi="宋体"/>
                <w:sz w:val="24"/>
              </w:rPr>
            </w:pPr>
            <w:r w:rsidRPr="00F57ABD">
              <w:rPr>
                <w:rFonts w:ascii="宋体" w:hAnsi="宋体" w:hint="eastAsia"/>
                <w:color w:val="000000"/>
                <w:sz w:val="24"/>
              </w:rPr>
              <w:t>112</w:t>
            </w:r>
          </w:p>
        </w:tc>
        <w:tc>
          <w:tcPr>
            <w:tcW w:w="7726" w:type="dxa"/>
            <w:tcBorders>
              <w:top w:val="nil"/>
              <w:left w:val="nil"/>
              <w:bottom w:val="single" w:sz="4" w:space="0" w:color="auto"/>
              <w:right w:val="single" w:sz="4" w:space="0" w:color="auto"/>
            </w:tcBorders>
            <w:shd w:val="clear" w:color="auto" w:fill="auto"/>
            <w:noWrap/>
          </w:tcPr>
          <w:p w14:paraId="072DDCA3" w14:textId="131281EF"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金合同（更新）</w:t>
            </w:r>
          </w:p>
        </w:tc>
        <w:tc>
          <w:tcPr>
            <w:tcW w:w="1630" w:type="dxa"/>
            <w:tcBorders>
              <w:top w:val="nil"/>
              <w:left w:val="nil"/>
              <w:bottom w:val="single" w:sz="4" w:space="0" w:color="auto"/>
              <w:right w:val="single" w:sz="4" w:space="0" w:color="auto"/>
            </w:tcBorders>
            <w:shd w:val="clear" w:color="auto" w:fill="auto"/>
            <w:noWrap/>
          </w:tcPr>
          <w:p w14:paraId="05760580" w14:textId="480F5982" w:rsidR="00F57ABD" w:rsidRDefault="00F57ABD" w:rsidP="00F57ABD">
            <w:pPr>
              <w:widowControl/>
              <w:jc w:val="center"/>
            </w:pPr>
            <w:r w:rsidRPr="00141265">
              <w:t>2021-06-23</w:t>
            </w:r>
          </w:p>
        </w:tc>
      </w:tr>
      <w:tr w:rsidR="00F57ABD" w14:paraId="07EC99DA"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98A7B57" w14:textId="290E8B1C" w:rsidR="00F57ABD" w:rsidRPr="00F57ABD" w:rsidRDefault="00F57ABD" w:rsidP="00F57ABD">
            <w:pPr>
              <w:widowControl/>
              <w:jc w:val="center"/>
              <w:rPr>
                <w:rFonts w:ascii="宋体" w:hAnsi="宋体"/>
                <w:sz w:val="24"/>
              </w:rPr>
            </w:pPr>
            <w:r w:rsidRPr="00F57ABD">
              <w:rPr>
                <w:rFonts w:ascii="宋体" w:hAnsi="宋体" w:hint="eastAsia"/>
                <w:color w:val="000000"/>
                <w:sz w:val="24"/>
              </w:rPr>
              <w:t>113</w:t>
            </w:r>
          </w:p>
        </w:tc>
        <w:tc>
          <w:tcPr>
            <w:tcW w:w="7726" w:type="dxa"/>
            <w:tcBorders>
              <w:top w:val="nil"/>
              <w:left w:val="nil"/>
              <w:bottom w:val="single" w:sz="4" w:space="0" w:color="auto"/>
              <w:right w:val="single" w:sz="4" w:space="0" w:color="auto"/>
            </w:tcBorders>
            <w:shd w:val="clear" w:color="auto" w:fill="auto"/>
            <w:noWrap/>
          </w:tcPr>
          <w:p w14:paraId="30AAAF98" w14:textId="7BD13B2F"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选混合型证券投资基金托管协议（更新）</w:t>
            </w:r>
          </w:p>
        </w:tc>
        <w:tc>
          <w:tcPr>
            <w:tcW w:w="1630" w:type="dxa"/>
            <w:tcBorders>
              <w:top w:val="nil"/>
              <w:left w:val="nil"/>
              <w:bottom w:val="single" w:sz="4" w:space="0" w:color="auto"/>
              <w:right w:val="single" w:sz="4" w:space="0" w:color="auto"/>
            </w:tcBorders>
            <w:shd w:val="clear" w:color="auto" w:fill="auto"/>
            <w:noWrap/>
          </w:tcPr>
          <w:p w14:paraId="1F1F1EC8" w14:textId="24D86706" w:rsidR="00F57ABD" w:rsidRDefault="00F57ABD" w:rsidP="00F57ABD">
            <w:pPr>
              <w:widowControl/>
              <w:jc w:val="center"/>
            </w:pPr>
            <w:r w:rsidRPr="00141265">
              <w:t>2021-06-23</w:t>
            </w:r>
          </w:p>
        </w:tc>
      </w:tr>
      <w:tr w:rsidR="00F57ABD" w14:paraId="7739F176"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AD706B5" w14:textId="2DFB882A" w:rsidR="00F57ABD" w:rsidRPr="00F57ABD" w:rsidRDefault="00F57ABD" w:rsidP="00F57ABD">
            <w:pPr>
              <w:widowControl/>
              <w:jc w:val="center"/>
              <w:rPr>
                <w:rFonts w:ascii="宋体" w:hAnsi="宋体"/>
                <w:sz w:val="24"/>
              </w:rPr>
            </w:pPr>
            <w:r w:rsidRPr="00F57ABD">
              <w:rPr>
                <w:rFonts w:ascii="宋体" w:hAnsi="宋体" w:hint="eastAsia"/>
                <w:color w:val="000000"/>
                <w:sz w:val="24"/>
              </w:rPr>
              <w:t>114</w:t>
            </w:r>
          </w:p>
        </w:tc>
        <w:tc>
          <w:tcPr>
            <w:tcW w:w="7726" w:type="dxa"/>
            <w:tcBorders>
              <w:top w:val="nil"/>
              <w:left w:val="nil"/>
              <w:bottom w:val="single" w:sz="4" w:space="0" w:color="auto"/>
              <w:right w:val="single" w:sz="4" w:space="0" w:color="auto"/>
            </w:tcBorders>
            <w:shd w:val="clear" w:color="auto" w:fill="auto"/>
            <w:noWrap/>
          </w:tcPr>
          <w:p w14:paraId="4628FE4F" w14:textId="3271B130"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选混合型证券投资基金招募说明书（更新）摘要</w:t>
            </w:r>
          </w:p>
        </w:tc>
        <w:tc>
          <w:tcPr>
            <w:tcW w:w="1630" w:type="dxa"/>
            <w:tcBorders>
              <w:top w:val="nil"/>
              <w:left w:val="nil"/>
              <w:bottom w:val="single" w:sz="4" w:space="0" w:color="auto"/>
              <w:right w:val="single" w:sz="4" w:space="0" w:color="auto"/>
            </w:tcBorders>
            <w:shd w:val="clear" w:color="auto" w:fill="auto"/>
            <w:noWrap/>
          </w:tcPr>
          <w:p w14:paraId="2DB0EB27" w14:textId="4EA75594" w:rsidR="00F57ABD" w:rsidRDefault="00F57ABD" w:rsidP="00F57ABD">
            <w:pPr>
              <w:widowControl/>
              <w:jc w:val="center"/>
            </w:pPr>
            <w:r w:rsidRPr="00141265">
              <w:t>2020-07-01</w:t>
            </w:r>
          </w:p>
        </w:tc>
      </w:tr>
      <w:tr w:rsidR="00F57ABD" w14:paraId="2C983AE0"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04F121D9" w14:textId="25A388AE" w:rsidR="00F57ABD" w:rsidRPr="00F57ABD" w:rsidRDefault="00F57ABD" w:rsidP="00F57ABD">
            <w:pPr>
              <w:widowControl/>
              <w:jc w:val="center"/>
              <w:rPr>
                <w:rFonts w:ascii="宋体" w:hAnsi="宋体"/>
                <w:sz w:val="24"/>
              </w:rPr>
            </w:pPr>
            <w:r w:rsidRPr="00F57ABD">
              <w:rPr>
                <w:rFonts w:ascii="宋体" w:hAnsi="宋体" w:hint="eastAsia"/>
                <w:color w:val="000000"/>
                <w:sz w:val="24"/>
              </w:rPr>
              <w:t>115</w:t>
            </w:r>
          </w:p>
        </w:tc>
        <w:tc>
          <w:tcPr>
            <w:tcW w:w="7726" w:type="dxa"/>
            <w:tcBorders>
              <w:top w:val="nil"/>
              <w:left w:val="nil"/>
              <w:bottom w:val="single" w:sz="4" w:space="0" w:color="auto"/>
              <w:right w:val="single" w:sz="4" w:space="0" w:color="auto"/>
            </w:tcBorders>
            <w:shd w:val="clear" w:color="auto" w:fill="auto"/>
            <w:noWrap/>
          </w:tcPr>
          <w:p w14:paraId="31AC3D8D" w14:textId="73DC519E"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w:t>
            </w:r>
          </w:p>
        </w:tc>
        <w:tc>
          <w:tcPr>
            <w:tcW w:w="1630" w:type="dxa"/>
            <w:tcBorders>
              <w:top w:val="nil"/>
              <w:left w:val="nil"/>
              <w:bottom w:val="single" w:sz="4" w:space="0" w:color="auto"/>
              <w:right w:val="single" w:sz="4" w:space="0" w:color="auto"/>
            </w:tcBorders>
            <w:shd w:val="clear" w:color="auto" w:fill="auto"/>
            <w:noWrap/>
          </w:tcPr>
          <w:p w14:paraId="37C21B25" w14:textId="66340312" w:rsidR="00F57ABD" w:rsidRDefault="00F57ABD" w:rsidP="00F57ABD">
            <w:pPr>
              <w:widowControl/>
              <w:jc w:val="center"/>
            </w:pPr>
            <w:r w:rsidRPr="00141265">
              <w:t>2020-07-01</w:t>
            </w:r>
          </w:p>
        </w:tc>
      </w:tr>
      <w:tr w:rsidR="00F57ABD" w14:paraId="79E9FDF3"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7177472" w14:textId="0DBF3163" w:rsidR="00F57ABD" w:rsidRPr="00F57ABD" w:rsidRDefault="00F57ABD" w:rsidP="00F57ABD">
            <w:pPr>
              <w:widowControl/>
              <w:jc w:val="center"/>
              <w:rPr>
                <w:rFonts w:ascii="宋体" w:hAnsi="宋体"/>
                <w:sz w:val="24"/>
              </w:rPr>
            </w:pPr>
            <w:r w:rsidRPr="00F57ABD">
              <w:rPr>
                <w:rFonts w:ascii="宋体" w:hAnsi="宋体" w:hint="eastAsia"/>
                <w:color w:val="000000"/>
                <w:sz w:val="24"/>
              </w:rPr>
              <w:t>116</w:t>
            </w:r>
          </w:p>
        </w:tc>
        <w:tc>
          <w:tcPr>
            <w:tcW w:w="7726" w:type="dxa"/>
            <w:tcBorders>
              <w:top w:val="nil"/>
              <w:left w:val="nil"/>
              <w:bottom w:val="single" w:sz="4" w:space="0" w:color="auto"/>
              <w:right w:val="single" w:sz="4" w:space="0" w:color="auto"/>
            </w:tcBorders>
            <w:shd w:val="clear" w:color="auto" w:fill="auto"/>
            <w:noWrap/>
          </w:tcPr>
          <w:p w14:paraId="09DB27C9" w14:textId="79D622C2"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选混合型证券投资基金招募说明书（更新）摘要</w:t>
            </w:r>
          </w:p>
        </w:tc>
        <w:tc>
          <w:tcPr>
            <w:tcW w:w="1630" w:type="dxa"/>
            <w:tcBorders>
              <w:top w:val="nil"/>
              <w:left w:val="nil"/>
              <w:bottom w:val="single" w:sz="4" w:space="0" w:color="auto"/>
              <w:right w:val="single" w:sz="4" w:space="0" w:color="auto"/>
            </w:tcBorders>
            <w:shd w:val="clear" w:color="auto" w:fill="auto"/>
            <w:noWrap/>
          </w:tcPr>
          <w:p w14:paraId="379212DA" w14:textId="27007453" w:rsidR="00F57ABD" w:rsidRDefault="00F57ABD" w:rsidP="00F57ABD">
            <w:pPr>
              <w:widowControl/>
              <w:jc w:val="center"/>
            </w:pPr>
            <w:r w:rsidRPr="00141265">
              <w:t>2019-11-22</w:t>
            </w:r>
          </w:p>
        </w:tc>
      </w:tr>
      <w:tr w:rsidR="00F57ABD" w14:paraId="076437B3"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0C03B6E" w14:textId="7AD662F3" w:rsidR="00F57ABD" w:rsidRPr="00F57ABD" w:rsidRDefault="00F57ABD" w:rsidP="00F57ABD">
            <w:pPr>
              <w:widowControl/>
              <w:jc w:val="center"/>
              <w:rPr>
                <w:rFonts w:ascii="宋体" w:hAnsi="宋体"/>
                <w:sz w:val="24"/>
              </w:rPr>
            </w:pPr>
            <w:r w:rsidRPr="00F57ABD">
              <w:rPr>
                <w:rFonts w:ascii="宋体" w:hAnsi="宋体" w:hint="eastAsia"/>
                <w:color w:val="000000"/>
                <w:sz w:val="24"/>
              </w:rPr>
              <w:lastRenderedPageBreak/>
              <w:t>117</w:t>
            </w:r>
          </w:p>
        </w:tc>
        <w:tc>
          <w:tcPr>
            <w:tcW w:w="7726" w:type="dxa"/>
            <w:tcBorders>
              <w:top w:val="nil"/>
              <w:left w:val="nil"/>
              <w:bottom w:val="single" w:sz="4" w:space="0" w:color="auto"/>
              <w:right w:val="single" w:sz="4" w:space="0" w:color="auto"/>
            </w:tcBorders>
            <w:shd w:val="clear" w:color="auto" w:fill="auto"/>
            <w:noWrap/>
          </w:tcPr>
          <w:p w14:paraId="09B4B106" w14:textId="443BD7E6"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金合同</w:t>
            </w:r>
          </w:p>
        </w:tc>
        <w:tc>
          <w:tcPr>
            <w:tcW w:w="1630" w:type="dxa"/>
            <w:tcBorders>
              <w:top w:val="nil"/>
              <w:left w:val="nil"/>
              <w:bottom w:val="single" w:sz="4" w:space="0" w:color="auto"/>
              <w:right w:val="single" w:sz="4" w:space="0" w:color="auto"/>
            </w:tcBorders>
            <w:shd w:val="clear" w:color="auto" w:fill="auto"/>
            <w:noWrap/>
          </w:tcPr>
          <w:p w14:paraId="73F7E049" w14:textId="46D66FFD" w:rsidR="00F57ABD" w:rsidRDefault="00F57ABD" w:rsidP="00F57ABD">
            <w:pPr>
              <w:widowControl/>
              <w:jc w:val="center"/>
            </w:pPr>
            <w:r w:rsidRPr="00141265">
              <w:t>2019-11-22</w:t>
            </w:r>
          </w:p>
        </w:tc>
      </w:tr>
      <w:tr w:rsidR="00F57ABD" w14:paraId="2EC7F7B1"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AB98626" w14:textId="0D9F0921"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118</w:t>
            </w:r>
          </w:p>
        </w:tc>
        <w:tc>
          <w:tcPr>
            <w:tcW w:w="7726" w:type="dxa"/>
            <w:tcBorders>
              <w:top w:val="nil"/>
              <w:left w:val="nil"/>
              <w:bottom w:val="single" w:sz="4" w:space="0" w:color="auto"/>
              <w:right w:val="single" w:sz="4" w:space="0" w:color="auto"/>
            </w:tcBorders>
            <w:shd w:val="clear" w:color="auto" w:fill="auto"/>
            <w:noWrap/>
          </w:tcPr>
          <w:p w14:paraId="2A5C3B85" w14:textId="2F359565"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选混合型证券投资基金托管协议</w:t>
            </w:r>
          </w:p>
        </w:tc>
        <w:tc>
          <w:tcPr>
            <w:tcW w:w="1630" w:type="dxa"/>
            <w:tcBorders>
              <w:top w:val="nil"/>
              <w:left w:val="nil"/>
              <w:bottom w:val="single" w:sz="4" w:space="0" w:color="auto"/>
              <w:right w:val="single" w:sz="4" w:space="0" w:color="auto"/>
            </w:tcBorders>
            <w:shd w:val="clear" w:color="auto" w:fill="auto"/>
            <w:noWrap/>
          </w:tcPr>
          <w:p w14:paraId="2F641D62" w14:textId="35B112E4" w:rsidR="00F57ABD" w:rsidRDefault="00F57ABD" w:rsidP="00F57ABD">
            <w:pPr>
              <w:widowControl/>
              <w:jc w:val="center"/>
              <w:rPr>
                <w:rFonts w:ascii="宋体" w:hAnsi="宋体" w:cs="宋体"/>
                <w:color w:val="000000"/>
                <w:kern w:val="0"/>
                <w:sz w:val="24"/>
              </w:rPr>
            </w:pPr>
            <w:r w:rsidRPr="00141265">
              <w:t>2019-11-22</w:t>
            </w:r>
          </w:p>
        </w:tc>
      </w:tr>
      <w:tr w:rsidR="00F57ABD" w14:paraId="316A7D4C"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87618E4" w14:textId="292DEC6A"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119</w:t>
            </w:r>
          </w:p>
        </w:tc>
        <w:tc>
          <w:tcPr>
            <w:tcW w:w="7726" w:type="dxa"/>
            <w:tcBorders>
              <w:top w:val="nil"/>
              <w:left w:val="nil"/>
              <w:bottom w:val="single" w:sz="4" w:space="0" w:color="auto"/>
              <w:right w:val="single" w:sz="4" w:space="0" w:color="auto"/>
            </w:tcBorders>
            <w:shd w:val="clear" w:color="auto" w:fill="auto"/>
            <w:noWrap/>
          </w:tcPr>
          <w:p w14:paraId="75A5C9A0" w14:textId="4097AC55"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选混合型证券投资基金招募说明书（更新）</w:t>
            </w:r>
          </w:p>
        </w:tc>
        <w:tc>
          <w:tcPr>
            <w:tcW w:w="1630" w:type="dxa"/>
            <w:tcBorders>
              <w:top w:val="nil"/>
              <w:left w:val="nil"/>
              <w:bottom w:val="single" w:sz="4" w:space="0" w:color="auto"/>
              <w:right w:val="single" w:sz="4" w:space="0" w:color="auto"/>
            </w:tcBorders>
            <w:shd w:val="clear" w:color="auto" w:fill="auto"/>
            <w:noWrap/>
          </w:tcPr>
          <w:p w14:paraId="7435076B" w14:textId="15BB0F33" w:rsidR="00F57ABD" w:rsidRDefault="00F57ABD" w:rsidP="00F57ABD">
            <w:pPr>
              <w:widowControl/>
              <w:jc w:val="center"/>
              <w:rPr>
                <w:rFonts w:ascii="宋体" w:hAnsi="宋体" w:cs="宋体"/>
                <w:color w:val="000000"/>
                <w:kern w:val="0"/>
                <w:sz w:val="24"/>
              </w:rPr>
            </w:pPr>
            <w:r w:rsidRPr="00141265">
              <w:t>2019-11-22</w:t>
            </w:r>
          </w:p>
        </w:tc>
      </w:tr>
      <w:tr w:rsidR="00F57ABD" w14:paraId="5217673D"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D5595F6" w14:textId="61D3658A"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120</w:t>
            </w:r>
          </w:p>
        </w:tc>
        <w:tc>
          <w:tcPr>
            <w:tcW w:w="7726" w:type="dxa"/>
            <w:tcBorders>
              <w:top w:val="nil"/>
              <w:left w:val="nil"/>
              <w:bottom w:val="single" w:sz="4" w:space="0" w:color="auto"/>
              <w:right w:val="single" w:sz="4" w:space="0" w:color="auto"/>
            </w:tcBorders>
            <w:shd w:val="clear" w:color="auto" w:fill="auto"/>
            <w:noWrap/>
          </w:tcPr>
          <w:p w14:paraId="3766F7E7" w14:textId="5E0F1492"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金合同生效公告</w:t>
            </w:r>
          </w:p>
        </w:tc>
        <w:tc>
          <w:tcPr>
            <w:tcW w:w="1630" w:type="dxa"/>
            <w:tcBorders>
              <w:top w:val="nil"/>
              <w:left w:val="nil"/>
              <w:bottom w:val="single" w:sz="4" w:space="0" w:color="auto"/>
              <w:right w:val="single" w:sz="4" w:space="0" w:color="auto"/>
            </w:tcBorders>
            <w:shd w:val="clear" w:color="auto" w:fill="auto"/>
            <w:noWrap/>
          </w:tcPr>
          <w:p w14:paraId="0441243A" w14:textId="039520C0" w:rsidR="00F57ABD" w:rsidRDefault="00F57ABD" w:rsidP="00F57ABD">
            <w:pPr>
              <w:widowControl/>
              <w:jc w:val="center"/>
              <w:rPr>
                <w:rFonts w:ascii="宋体" w:hAnsi="宋体" w:cs="宋体"/>
                <w:color w:val="000000"/>
                <w:kern w:val="0"/>
                <w:sz w:val="24"/>
              </w:rPr>
            </w:pPr>
            <w:r w:rsidRPr="00141265">
              <w:t>2019-06-28</w:t>
            </w:r>
          </w:p>
        </w:tc>
      </w:tr>
      <w:tr w:rsidR="00F57ABD" w14:paraId="135BB6C2"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6E06267" w14:textId="05EB4078"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121</w:t>
            </w:r>
          </w:p>
        </w:tc>
        <w:tc>
          <w:tcPr>
            <w:tcW w:w="7726" w:type="dxa"/>
            <w:tcBorders>
              <w:top w:val="nil"/>
              <w:left w:val="nil"/>
              <w:bottom w:val="single" w:sz="4" w:space="0" w:color="auto"/>
              <w:right w:val="single" w:sz="4" w:space="0" w:color="auto"/>
            </w:tcBorders>
            <w:shd w:val="clear" w:color="auto" w:fill="auto"/>
            <w:noWrap/>
          </w:tcPr>
          <w:p w14:paraId="492C020D" w14:textId="18212E2E"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选混合型证券投资基金招募说明书</w:t>
            </w:r>
          </w:p>
        </w:tc>
        <w:tc>
          <w:tcPr>
            <w:tcW w:w="1630" w:type="dxa"/>
            <w:tcBorders>
              <w:top w:val="nil"/>
              <w:left w:val="nil"/>
              <w:bottom w:val="single" w:sz="4" w:space="0" w:color="auto"/>
              <w:right w:val="single" w:sz="4" w:space="0" w:color="auto"/>
            </w:tcBorders>
            <w:shd w:val="clear" w:color="auto" w:fill="auto"/>
            <w:noWrap/>
          </w:tcPr>
          <w:p w14:paraId="3857977F" w14:textId="4BF54904" w:rsidR="00F57ABD" w:rsidRDefault="00F57ABD" w:rsidP="00F57ABD">
            <w:pPr>
              <w:widowControl/>
              <w:jc w:val="center"/>
              <w:rPr>
                <w:rFonts w:ascii="宋体" w:hAnsi="宋体" w:cs="宋体"/>
                <w:color w:val="000000"/>
                <w:kern w:val="0"/>
                <w:sz w:val="24"/>
              </w:rPr>
            </w:pPr>
            <w:r w:rsidRPr="00141265">
              <w:t>2019-05-30</w:t>
            </w:r>
          </w:p>
        </w:tc>
      </w:tr>
      <w:tr w:rsidR="00F57ABD" w14:paraId="3D5C592C"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407EFF3A" w14:textId="2D14ED33"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122</w:t>
            </w:r>
          </w:p>
        </w:tc>
        <w:tc>
          <w:tcPr>
            <w:tcW w:w="7726" w:type="dxa"/>
            <w:tcBorders>
              <w:top w:val="nil"/>
              <w:left w:val="nil"/>
              <w:bottom w:val="single" w:sz="4" w:space="0" w:color="auto"/>
              <w:right w:val="single" w:sz="4" w:space="0" w:color="auto"/>
            </w:tcBorders>
            <w:shd w:val="clear" w:color="auto" w:fill="auto"/>
            <w:noWrap/>
          </w:tcPr>
          <w:p w14:paraId="63122A3C" w14:textId="6AB4676C"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选混合型证券投资基金托管协议</w:t>
            </w:r>
          </w:p>
        </w:tc>
        <w:tc>
          <w:tcPr>
            <w:tcW w:w="1630" w:type="dxa"/>
            <w:tcBorders>
              <w:top w:val="nil"/>
              <w:left w:val="nil"/>
              <w:bottom w:val="single" w:sz="4" w:space="0" w:color="auto"/>
              <w:right w:val="single" w:sz="4" w:space="0" w:color="auto"/>
            </w:tcBorders>
            <w:shd w:val="clear" w:color="auto" w:fill="auto"/>
            <w:noWrap/>
          </w:tcPr>
          <w:p w14:paraId="4AEB3BA7" w14:textId="25F08EE6" w:rsidR="00F57ABD" w:rsidRDefault="00F57ABD" w:rsidP="00F57ABD">
            <w:pPr>
              <w:widowControl/>
              <w:jc w:val="center"/>
              <w:rPr>
                <w:rFonts w:ascii="宋体" w:hAnsi="宋体" w:cs="宋体"/>
                <w:color w:val="000000"/>
                <w:kern w:val="0"/>
                <w:sz w:val="24"/>
              </w:rPr>
            </w:pPr>
            <w:r w:rsidRPr="00141265">
              <w:t>2019-05-30</w:t>
            </w:r>
          </w:p>
        </w:tc>
      </w:tr>
      <w:tr w:rsidR="00F57ABD" w14:paraId="14FB0C6F"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AD5CF38" w14:textId="16DC7A72"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123</w:t>
            </w:r>
          </w:p>
        </w:tc>
        <w:tc>
          <w:tcPr>
            <w:tcW w:w="7726" w:type="dxa"/>
            <w:tcBorders>
              <w:top w:val="nil"/>
              <w:left w:val="nil"/>
              <w:bottom w:val="single" w:sz="4" w:space="0" w:color="auto"/>
              <w:right w:val="single" w:sz="4" w:space="0" w:color="auto"/>
            </w:tcBorders>
            <w:shd w:val="clear" w:color="auto" w:fill="auto"/>
            <w:noWrap/>
          </w:tcPr>
          <w:p w14:paraId="177B4FD8" w14:textId="7123E54F"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金合同内容摘要</w:t>
            </w:r>
          </w:p>
        </w:tc>
        <w:tc>
          <w:tcPr>
            <w:tcW w:w="1630" w:type="dxa"/>
            <w:tcBorders>
              <w:top w:val="nil"/>
              <w:left w:val="nil"/>
              <w:bottom w:val="single" w:sz="4" w:space="0" w:color="auto"/>
              <w:right w:val="single" w:sz="4" w:space="0" w:color="auto"/>
            </w:tcBorders>
            <w:shd w:val="clear" w:color="auto" w:fill="auto"/>
            <w:noWrap/>
          </w:tcPr>
          <w:p w14:paraId="70B2C34B" w14:textId="0920EF1B" w:rsidR="00F57ABD" w:rsidRDefault="00F57ABD" w:rsidP="00F57ABD">
            <w:pPr>
              <w:widowControl/>
              <w:jc w:val="center"/>
              <w:rPr>
                <w:rFonts w:ascii="宋体" w:hAnsi="宋体" w:cs="宋体"/>
                <w:color w:val="000000"/>
                <w:kern w:val="0"/>
                <w:sz w:val="24"/>
              </w:rPr>
            </w:pPr>
            <w:r w:rsidRPr="00141265">
              <w:t>2019-05-30</w:t>
            </w:r>
          </w:p>
        </w:tc>
      </w:tr>
      <w:tr w:rsidR="00F57ABD" w14:paraId="113600D9"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E18BF49" w14:textId="235234BE"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124</w:t>
            </w:r>
          </w:p>
        </w:tc>
        <w:tc>
          <w:tcPr>
            <w:tcW w:w="7726" w:type="dxa"/>
            <w:tcBorders>
              <w:top w:val="nil"/>
              <w:left w:val="nil"/>
              <w:bottom w:val="single" w:sz="4" w:space="0" w:color="auto"/>
              <w:right w:val="single" w:sz="4" w:space="0" w:color="auto"/>
            </w:tcBorders>
            <w:shd w:val="clear" w:color="auto" w:fill="auto"/>
            <w:noWrap/>
          </w:tcPr>
          <w:p w14:paraId="166F3FDE" w14:textId="64E33C26"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金合同</w:t>
            </w:r>
          </w:p>
        </w:tc>
        <w:tc>
          <w:tcPr>
            <w:tcW w:w="1630" w:type="dxa"/>
            <w:tcBorders>
              <w:top w:val="nil"/>
              <w:left w:val="nil"/>
              <w:bottom w:val="single" w:sz="4" w:space="0" w:color="auto"/>
              <w:right w:val="single" w:sz="4" w:space="0" w:color="auto"/>
            </w:tcBorders>
            <w:shd w:val="clear" w:color="auto" w:fill="auto"/>
            <w:noWrap/>
          </w:tcPr>
          <w:p w14:paraId="44F1F44D" w14:textId="7C8767D3" w:rsidR="00F57ABD" w:rsidRDefault="00F57ABD" w:rsidP="00F57ABD">
            <w:pPr>
              <w:widowControl/>
              <w:jc w:val="center"/>
              <w:rPr>
                <w:rFonts w:ascii="宋体" w:hAnsi="宋体" w:cs="宋体"/>
                <w:color w:val="000000"/>
                <w:kern w:val="0"/>
                <w:sz w:val="24"/>
              </w:rPr>
            </w:pPr>
            <w:r w:rsidRPr="00141265">
              <w:t>2019-05-30</w:t>
            </w:r>
          </w:p>
        </w:tc>
      </w:tr>
      <w:tr w:rsidR="00F57ABD" w14:paraId="64272231" w14:textId="77777777" w:rsidTr="00F94CAE">
        <w:trPr>
          <w:trHeight w:val="32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FCB3443" w14:textId="23BE21E2" w:rsidR="00F57ABD" w:rsidRPr="00F57ABD" w:rsidRDefault="00F57ABD" w:rsidP="00F57ABD">
            <w:pPr>
              <w:widowControl/>
              <w:jc w:val="center"/>
              <w:rPr>
                <w:rFonts w:ascii="宋体" w:hAnsi="宋体" w:cs="宋体"/>
                <w:color w:val="000000"/>
                <w:kern w:val="0"/>
                <w:sz w:val="24"/>
              </w:rPr>
            </w:pPr>
            <w:r w:rsidRPr="00F57ABD">
              <w:rPr>
                <w:rFonts w:ascii="宋体" w:hAnsi="宋体" w:hint="eastAsia"/>
                <w:color w:val="000000"/>
                <w:sz w:val="24"/>
              </w:rPr>
              <w:t>125</w:t>
            </w:r>
          </w:p>
        </w:tc>
        <w:tc>
          <w:tcPr>
            <w:tcW w:w="7726" w:type="dxa"/>
            <w:tcBorders>
              <w:top w:val="nil"/>
              <w:left w:val="nil"/>
              <w:bottom w:val="single" w:sz="4" w:space="0" w:color="auto"/>
              <w:right w:val="single" w:sz="4" w:space="0" w:color="auto"/>
            </w:tcBorders>
            <w:shd w:val="clear" w:color="auto" w:fill="auto"/>
            <w:noWrap/>
          </w:tcPr>
          <w:p w14:paraId="11A0C75C" w14:textId="727BAAC2" w:rsidR="00F57ABD" w:rsidRDefault="00F57ABD" w:rsidP="00F57ABD">
            <w:pPr>
              <w:widowControl/>
              <w:jc w:val="left"/>
              <w:rPr>
                <w:rFonts w:ascii="宋体" w:hAnsi="宋体" w:cs="宋体"/>
                <w:color w:val="000000"/>
                <w:kern w:val="0"/>
                <w:sz w:val="24"/>
              </w:rPr>
            </w:pPr>
            <w:r w:rsidRPr="0089403A">
              <w:rPr>
                <w:rFonts w:hint="eastAsia"/>
              </w:rPr>
              <w:t>朱雀产业</w:t>
            </w:r>
            <w:proofErr w:type="gramStart"/>
            <w:r w:rsidRPr="0089403A">
              <w:rPr>
                <w:rFonts w:hint="eastAsia"/>
              </w:rPr>
              <w:t>臻</w:t>
            </w:r>
            <w:proofErr w:type="gramEnd"/>
            <w:r w:rsidRPr="0089403A">
              <w:rPr>
                <w:rFonts w:hint="eastAsia"/>
              </w:rPr>
              <w:t>选混合型证券投资</w:t>
            </w:r>
            <w:proofErr w:type="gramStart"/>
            <w:r w:rsidRPr="0089403A">
              <w:rPr>
                <w:rFonts w:hint="eastAsia"/>
              </w:rPr>
              <w:t>基金基</w:t>
            </w:r>
            <w:proofErr w:type="gramEnd"/>
            <w:r w:rsidRPr="0089403A">
              <w:rPr>
                <w:rFonts w:hint="eastAsia"/>
              </w:rPr>
              <w:t>金份额发售公告</w:t>
            </w:r>
          </w:p>
        </w:tc>
        <w:tc>
          <w:tcPr>
            <w:tcW w:w="1630" w:type="dxa"/>
            <w:tcBorders>
              <w:top w:val="nil"/>
              <w:left w:val="nil"/>
              <w:bottom w:val="single" w:sz="4" w:space="0" w:color="auto"/>
              <w:right w:val="single" w:sz="4" w:space="0" w:color="auto"/>
            </w:tcBorders>
            <w:shd w:val="clear" w:color="auto" w:fill="auto"/>
            <w:noWrap/>
          </w:tcPr>
          <w:p w14:paraId="600CBFCE" w14:textId="0D52C2D9" w:rsidR="00F57ABD" w:rsidRDefault="00F57ABD" w:rsidP="00F57ABD">
            <w:pPr>
              <w:widowControl/>
              <w:jc w:val="center"/>
              <w:rPr>
                <w:rFonts w:ascii="宋体" w:hAnsi="宋体" w:cs="宋体"/>
                <w:color w:val="000000"/>
                <w:kern w:val="0"/>
                <w:sz w:val="24"/>
              </w:rPr>
            </w:pPr>
            <w:r w:rsidRPr="00141265">
              <w:t>2019-05-30</w:t>
            </w:r>
          </w:p>
        </w:tc>
      </w:tr>
      <w:tr w:rsidR="00F57ABD" w14:paraId="6000BAE9"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760562C" w14:textId="55D4C551"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126</w:t>
            </w:r>
          </w:p>
        </w:tc>
        <w:tc>
          <w:tcPr>
            <w:tcW w:w="7726" w:type="dxa"/>
            <w:tcBorders>
              <w:top w:val="single" w:sz="4" w:space="0" w:color="auto"/>
              <w:left w:val="nil"/>
              <w:bottom w:val="single" w:sz="4" w:space="0" w:color="auto"/>
              <w:right w:val="single" w:sz="4" w:space="0" w:color="auto"/>
            </w:tcBorders>
            <w:shd w:val="clear" w:color="auto" w:fill="auto"/>
            <w:noWrap/>
          </w:tcPr>
          <w:p w14:paraId="45D6D882" w14:textId="0AE22B1C" w:rsidR="00F57ABD" w:rsidRPr="00133824" w:rsidRDefault="00F57ABD" w:rsidP="00F57ABD">
            <w:pPr>
              <w:widowControl/>
              <w:jc w:val="left"/>
            </w:pPr>
            <w:r w:rsidRPr="00F57ABD">
              <w:rPr>
                <w:rFonts w:hint="eastAsia"/>
              </w:rPr>
              <w:t>朱雀产业</w:t>
            </w:r>
            <w:proofErr w:type="gramStart"/>
            <w:r w:rsidRPr="00F57ABD">
              <w:rPr>
                <w:rFonts w:hint="eastAsia"/>
              </w:rPr>
              <w:t>臻</w:t>
            </w:r>
            <w:proofErr w:type="gramEnd"/>
            <w:r w:rsidRPr="00F57ABD">
              <w:rPr>
                <w:rFonts w:hint="eastAsia"/>
              </w:rPr>
              <w:t>选混合型证券投资基金</w:t>
            </w:r>
            <w:r w:rsidRPr="00F57ABD">
              <w:rPr>
                <w:rFonts w:hint="eastAsia"/>
              </w:rPr>
              <w:t>2026</w:t>
            </w:r>
            <w:r w:rsidRPr="00F57ABD">
              <w:rPr>
                <w:rFonts w:hint="eastAsia"/>
              </w:rPr>
              <w:t>年中期报告</w:t>
            </w:r>
          </w:p>
        </w:tc>
        <w:tc>
          <w:tcPr>
            <w:tcW w:w="1630" w:type="dxa"/>
            <w:tcBorders>
              <w:top w:val="single" w:sz="4" w:space="0" w:color="auto"/>
              <w:left w:val="nil"/>
              <w:bottom w:val="single" w:sz="4" w:space="0" w:color="auto"/>
              <w:right w:val="single" w:sz="4" w:space="0" w:color="auto"/>
            </w:tcBorders>
            <w:shd w:val="clear" w:color="auto" w:fill="auto"/>
            <w:noWrap/>
          </w:tcPr>
          <w:p w14:paraId="5E3CDD40" w14:textId="5CB7B3F6" w:rsidR="00F57ABD" w:rsidRPr="00133824" w:rsidRDefault="00F57ABD" w:rsidP="00F57ABD">
            <w:pPr>
              <w:widowControl/>
              <w:jc w:val="center"/>
            </w:pPr>
            <w:r w:rsidRPr="00F57ABD">
              <w:t>2026-08-28</w:t>
            </w:r>
          </w:p>
        </w:tc>
      </w:tr>
      <w:tr w:rsidR="00F57ABD" w14:paraId="1AC53065"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2068268" w14:textId="5026B22B" w:rsidR="00F57ABD" w:rsidRPr="00F57ABD" w:rsidRDefault="00F57ABD" w:rsidP="00F57ABD">
            <w:pPr>
              <w:widowControl/>
              <w:jc w:val="center"/>
              <w:rPr>
                <w:rFonts w:ascii="宋体" w:hAnsi="宋体"/>
                <w:sz w:val="24"/>
              </w:rPr>
            </w:pPr>
            <w:r w:rsidRPr="00F57ABD">
              <w:rPr>
                <w:rFonts w:ascii="宋体" w:hAnsi="宋体" w:hint="eastAsia"/>
                <w:color w:val="000000"/>
                <w:sz w:val="24"/>
              </w:rPr>
              <w:t>127</w:t>
            </w:r>
          </w:p>
        </w:tc>
        <w:tc>
          <w:tcPr>
            <w:tcW w:w="7726" w:type="dxa"/>
            <w:tcBorders>
              <w:top w:val="single" w:sz="4" w:space="0" w:color="auto"/>
              <w:left w:val="nil"/>
              <w:bottom w:val="single" w:sz="4" w:space="0" w:color="auto"/>
              <w:right w:val="single" w:sz="4" w:space="0" w:color="auto"/>
            </w:tcBorders>
            <w:shd w:val="clear" w:color="auto" w:fill="auto"/>
            <w:noWrap/>
          </w:tcPr>
          <w:p w14:paraId="3EC59757" w14:textId="5EF401D8" w:rsidR="00F57ABD" w:rsidRPr="00A85879" w:rsidRDefault="00F57ABD" w:rsidP="00F57ABD">
            <w:pPr>
              <w:widowControl/>
              <w:jc w:val="left"/>
            </w:pPr>
            <w:r w:rsidRPr="00133824">
              <w:rPr>
                <w:rFonts w:hint="eastAsia"/>
              </w:rPr>
              <w:t>朱雀产业</w:t>
            </w:r>
            <w:proofErr w:type="gramStart"/>
            <w:r w:rsidRPr="00133824">
              <w:rPr>
                <w:rFonts w:hint="eastAsia"/>
              </w:rPr>
              <w:t>臻</w:t>
            </w:r>
            <w:proofErr w:type="gramEnd"/>
            <w:r w:rsidRPr="00133824">
              <w:rPr>
                <w:rFonts w:hint="eastAsia"/>
              </w:rPr>
              <w:t>选混合型证券投资基金</w:t>
            </w:r>
            <w:r w:rsidRPr="00133824">
              <w:rPr>
                <w:rFonts w:hint="eastAsia"/>
              </w:rPr>
              <w:t>2026</w:t>
            </w:r>
            <w:r w:rsidRPr="00133824">
              <w:rPr>
                <w:rFonts w:hint="eastAsia"/>
              </w:rPr>
              <w:t>年第</w:t>
            </w:r>
            <w:r w:rsidRPr="00133824">
              <w:rPr>
                <w:rFonts w:hint="eastAsia"/>
              </w:rPr>
              <w:t>2</w:t>
            </w:r>
            <w:r w:rsidRPr="00133824">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3D4BA9FD" w14:textId="30BB68CB" w:rsidR="00F57ABD" w:rsidRPr="00A85879" w:rsidRDefault="00F57ABD" w:rsidP="00F57ABD">
            <w:pPr>
              <w:widowControl/>
              <w:jc w:val="center"/>
            </w:pPr>
            <w:r w:rsidRPr="00133824">
              <w:t>2026-07-21</w:t>
            </w:r>
          </w:p>
        </w:tc>
      </w:tr>
      <w:tr w:rsidR="00F57ABD" w14:paraId="50D72F03"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1B02C7F" w14:textId="778DF801" w:rsidR="00F57ABD" w:rsidRPr="00F57ABD" w:rsidRDefault="00F57ABD" w:rsidP="00F57ABD">
            <w:pPr>
              <w:widowControl/>
              <w:jc w:val="center"/>
              <w:rPr>
                <w:rFonts w:ascii="宋体" w:hAnsi="宋体"/>
                <w:sz w:val="24"/>
              </w:rPr>
            </w:pPr>
            <w:r w:rsidRPr="00F57ABD">
              <w:rPr>
                <w:rFonts w:ascii="宋体" w:hAnsi="宋体" w:hint="eastAsia"/>
                <w:color w:val="000000"/>
                <w:sz w:val="24"/>
              </w:rPr>
              <w:t>128</w:t>
            </w:r>
          </w:p>
        </w:tc>
        <w:tc>
          <w:tcPr>
            <w:tcW w:w="7726" w:type="dxa"/>
            <w:tcBorders>
              <w:top w:val="single" w:sz="4" w:space="0" w:color="auto"/>
              <w:left w:val="nil"/>
              <w:bottom w:val="single" w:sz="4" w:space="0" w:color="auto"/>
              <w:right w:val="single" w:sz="4" w:space="0" w:color="auto"/>
            </w:tcBorders>
            <w:shd w:val="clear" w:color="auto" w:fill="auto"/>
            <w:noWrap/>
          </w:tcPr>
          <w:p w14:paraId="0EA80684" w14:textId="6B861025" w:rsidR="00F57ABD" w:rsidRPr="0089403A" w:rsidRDefault="00F57ABD" w:rsidP="00F57ABD">
            <w:pPr>
              <w:widowControl/>
              <w:jc w:val="left"/>
            </w:pPr>
            <w:r w:rsidRPr="00A85879">
              <w:rPr>
                <w:rFonts w:hint="eastAsia"/>
              </w:rPr>
              <w:t>朱雀产业</w:t>
            </w:r>
            <w:proofErr w:type="gramStart"/>
            <w:r w:rsidRPr="00A85879">
              <w:rPr>
                <w:rFonts w:hint="eastAsia"/>
              </w:rPr>
              <w:t>臻</w:t>
            </w:r>
            <w:proofErr w:type="gramEnd"/>
            <w:r w:rsidRPr="00A85879">
              <w:rPr>
                <w:rFonts w:hint="eastAsia"/>
              </w:rPr>
              <w:t>选混合型证券投资基金</w:t>
            </w:r>
            <w:r w:rsidRPr="00A85879">
              <w:rPr>
                <w:rFonts w:hint="eastAsia"/>
              </w:rPr>
              <w:t>2026</w:t>
            </w:r>
            <w:r w:rsidRPr="00A85879">
              <w:rPr>
                <w:rFonts w:hint="eastAsia"/>
              </w:rPr>
              <w:t>年第</w:t>
            </w:r>
            <w:r w:rsidRPr="00A85879">
              <w:rPr>
                <w:rFonts w:hint="eastAsia"/>
              </w:rPr>
              <w:t>1</w:t>
            </w:r>
            <w:r w:rsidRPr="00A85879">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5F0EAB86" w14:textId="1BB6943F" w:rsidR="00F57ABD" w:rsidRPr="00141265" w:rsidRDefault="00F57ABD" w:rsidP="00F57ABD">
            <w:pPr>
              <w:widowControl/>
              <w:jc w:val="center"/>
            </w:pPr>
            <w:r w:rsidRPr="00A85879">
              <w:t>2026-04-22</w:t>
            </w:r>
          </w:p>
        </w:tc>
      </w:tr>
      <w:tr w:rsidR="00F57ABD" w14:paraId="244EE939"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A335F2D" w14:textId="1C703D25" w:rsidR="00F57ABD" w:rsidRPr="00F57ABD" w:rsidRDefault="00F57ABD" w:rsidP="00F57ABD">
            <w:pPr>
              <w:widowControl/>
              <w:jc w:val="center"/>
              <w:rPr>
                <w:rFonts w:ascii="宋体" w:hAnsi="宋体"/>
                <w:sz w:val="24"/>
              </w:rPr>
            </w:pPr>
            <w:r w:rsidRPr="00F57ABD">
              <w:rPr>
                <w:rFonts w:ascii="宋体" w:hAnsi="宋体" w:hint="eastAsia"/>
                <w:color w:val="000000"/>
                <w:sz w:val="24"/>
              </w:rPr>
              <w:t>129</w:t>
            </w:r>
          </w:p>
        </w:tc>
        <w:tc>
          <w:tcPr>
            <w:tcW w:w="7726" w:type="dxa"/>
            <w:tcBorders>
              <w:top w:val="single" w:sz="4" w:space="0" w:color="auto"/>
              <w:left w:val="nil"/>
              <w:bottom w:val="single" w:sz="4" w:space="0" w:color="auto"/>
              <w:right w:val="single" w:sz="4" w:space="0" w:color="auto"/>
            </w:tcBorders>
            <w:shd w:val="clear" w:color="auto" w:fill="auto"/>
            <w:noWrap/>
          </w:tcPr>
          <w:p w14:paraId="4FD7406D" w14:textId="11476DFF" w:rsidR="00F57ABD" w:rsidRPr="0089403A" w:rsidRDefault="00F57ABD" w:rsidP="00F57ABD">
            <w:pPr>
              <w:widowControl/>
              <w:jc w:val="left"/>
            </w:pPr>
            <w:r w:rsidRPr="00A85879">
              <w:rPr>
                <w:rFonts w:hint="eastAsia"/>
              </w:rPr>
              <w:t>朱雀产业</w:t>
            </w:r>
            <w:proofErr w:type="gramStart"/>
            <w:r w:rsidRPr="00A85879">
              <w:rPr>
                <w:rFonts w:hint="eastAsia"/>
              </w:rPr>
              <w:t>臻</w:t>
            </w:r>
            <w:proofErr w:type="gramEnd"/>
            <w:r w:rsidRPr="00A85879">
              <w:rPr>
                <w:rFonts w:hint="eastAsia"/>
              </w:rPr>
              <w:t>选混合型证券投资基金</w:t>
            </w:r>
            <w:r w:rsidRPr="00A85879">
              <w:rPr>
                <w:rFonts w:hint="eastAsia"/>
              </w:rPr>
              <w:t>2025</w:t>
            </w:r>
            <w:r w:rsidRPr="00A85879">
              <w:rPr>
                <w:rFonts w:hint="eastAsia"/>
              </w:rPr>
              <w:t>年年度报告</w:t>
            </w:r>
          </w:p>
        </w:tc>
        <w:tc>
          <w:tcPr>
            <w:tcW w:w="1630" w:type="dxa"/>
            <w:tcBorders>
              <w:top w:val="single" w:sz="4" w:space="0" w:color="auto"/>
              <w:left w:val="nil"/>
              <w:bottom w:val="single" w:sz="4" w:space="0" w:color="auto"/>
              <w:right w:val="single" w:sz="4" w:space="0" w:color="auto"/>
            </w:tcBorders>
            <w:shd w:val="clear" w:color="auto" w:fill="auto"/>
            <w:noWrap/>
          </w:tcPr>
          <w:p w14:paraId="0FCF71D6" w14:textId="5CC08A4D" w:rsidR="00F57ABD" w:rsidRPr="00141265" w:rsidRDefault="00F57ABD" w:rsidP="00F57ABD">
            <w:pPr>
              <w:widowControl/>
              <w:jc w:val="center"/>
            </w:pPr>
            <w:r w:rsidRPr="00A85879">
              <w:t>2026-03-28</w:t>
            </w:r>
          </w:p>
        </w:tc>
      </w:tr>
      <w:tr w:rsidR="00F57ABD" w14:paraId="1124D3B4"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255F851" w14:textId="18E674CF" w:rsidR="00F57ABD" w:rsidRPr="00F57ABD" w:rsidRDefault="00F57ABD" w:rsidP="00F57ABD">
            <w:pPr>
              <w:widowControl/>
              <w:jc w:val="center"/>
              <w:rPr>
                <w:rFonts w:ascii="宋体" w:hAnsi="宋体"/>
                <w:sz w:val="24"/>
              </w:rPr>
            </w:pPr>
            <w:r w:rsidRPr="00F57ABD">
              <w:rPr>
                <w:rFonts w:ascii="宋体" w:hAnsi="宋体" w:hint="eastAsia"/>
                <w:color w:val="000000"/>
                <w:sz w:val="24"/>
              </w:rPr>
              <w:t>130</w:t>
            </w:r>
          </w:p>
        </w:tc>
        <w:tc>
          <w:tcPr>
            <w:tcW w:w="7726" w:type="dxa"/>
            <w:tcBorders>
              <w:top w:val="single" w:sz="4" w:space="0" w:color="auto"/>
              <w:left w:val="nil"/>
              <w:bottom w:val="single" w:sz="4" w:space="0" w:color="auto"/>
              <w:right w:val="single" w:sz="4" w:space="0" w:color="auto"/>
            </w:tcBorders>
            <w:shd w:val="clear" w:color="auto" w:fill="auto"/>
            <w:noWrap/>
          </w:tcPr>
          <w:p w14:paraId="3723EF47" w14:textId="0C130D28" w:rsidR="00F57ABD" w:rsidRPr="0089403A" w:rsidRDefault="00F57ABD" w:rsidP="00F57ABD">
            <w:pPr>
              <w:widowControl/>
              <w:jc w:val="left"/>
            </w:pPr>
            <w:r w:rsidRPr="00A85879">
              <w:rPr>
                <w:rFonts w:hint="eastAsia"/>
              </w:rPr>
              <w:t>朱雀产业</w:t>
            </w:r>
            <w:proofErr w:type="gramStart"/>
            <w:r w:rsidRPr="00A85879">
              <w:rPr>
                <w:rFonts w:hint="eastAsia"/>
              </w:rPr>
              <w:t>臻</w:t>
            </w:r>
            <w:proofErr w:type="gramEnd"/>
            <w:r w:rsidRPr="00A85879">
              <w:rPr>
                <w:rFonts w:hint="eastAsia"/>
              </w:rPr>
              <w:t>选混合型证券投资基金</w:t>
            </w:r>
            <w:r w:rsidRPr="00A85879">
              <w:rPr>
                <w:rFonts w:hint="eastAsia"/>
              </w:rPr>
              <w:t>2025</w:t>
            </w:r>
            <w:r w:rsidRPr="00A85879">
              <w:rPr>
                <w:rFonts w:hint="eastAsia"/>
              </w:rPr>
              <w:t>年第</w:t>
            </w:r>
            <w:r w:rsidRPr="00A85879">
              <w:rPr>
                <w:rFonts w:hint="eastAsia"/>
              </w:rPr>
              <w:t>4</w:t>
            </w:r>
            <w:r w:rsidRPr="00A85879">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789F44F1" w14:textId="46904EA9" w:rsidR="00F57ABD" w:rsidRPr="00141265" w:rsidRDefault="00F57ABD" w:rsidP="00F57ABD">
            <w:pPr>
              <w:widowControl/>
              <w:jc w:val="center"/>
            </w:pPr>
            <w:r w:rsidRPr="00A85879">
              <w:t>2026-01-22</w:t>
            </w:r>
          </w:p>
        </w:tc>
      </w:tr>
      <w:tr w:rsidR="00F57ABD" w14:paraId="500A6423"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CDA677F" w14:textId="5C1BDDCC" w:rsidR="00F57ABD" w:rsidRPr="00F57ABD" w:rsidRDefault="00F57ABD" w:rsidP="00F57ABD">
            <w:pPr>
              <w:widowControl/>
              <w:jc w:val="center"/>
              <w:rPr>
                <w:rFonts w:ascii="宋体" w:hAnsi="宋体"/>
                <w:sz w:val="24"/>
              </w:rPr>
            </w:pPr>
            <w:r w:rsidRPr="00F57ABD">
              <w:rPr>
                <w:rFonts w:ascii="宋体" w:hAnsi="宋体" w:hint="eastAsia"/>
                <w:color w:val="000000"/>
                <w:sz w:val="24"/>
              </w:rPr>
              <w:t>131</w:t>
            </w:r>
          </w:p>
        </w:tc>
        <w:tc>
          <w:tcPr>
            <w:tcW w:w="7726" w:type="dxa"/>
            <w:tcBorders>
              <w:top w:val="single" w:sz="4" w:space="0" w:color="auto"/>
              <w:left w:val="nil"/>
              <w:bottom w:val="single" w:sz="4" w:space="0" w:color="auto"/>
              <w:right w:val="single" w:sz="4" w:space="0" w:color="auto"/>
            </w:tcBorders>
            <w:shd w:val="clear" w:color="auto" w:fill="auto"/>
            <w:noWrap/>
          </w:tcPr>
          <w:p w14:paraId="71C15B6F" w14:textId="61309032" w:rsidR="00F57ABD" w:rsidRPr="0089403A" w:rsidRDefault="00F57ABD" w:rsidP="00F57ABD">
            <w:pPr>
              <w:widowControl/>
              <w:jc w:val="left"/>
            </w:pPr>
            <w:r w:rsidRPr="00A85879">
              <w:rPr>
                <w:rFonts w:hint="eastAsia"/>
              </w:rPr>
              <w:t>朱雀产业</w:t>
            </w:r>
            <w:proofErr w:type="gramStart"/>
            <w:r w:rsidRPr="00A85879">
              <w:rPr>
                <w:rFonts w:hint="eastAsia"/>
              </w:rPr>
              <w:t>臻</w:t>
            </w:r>
            <w:proofErr w:type="gramEnd"/>
            <w:r w:rsidRPr="00A85879">
              <w:rPr>
                <w:rFonts w:hint="eastAsia"/>
              </w:rPr>
              <w:t>选混合型证券投资基金</w:t>
            </w:r>
            <w:r w:rsidRPr="00A85879">
              <w:rPr>
                <w:rFonts w:hint="eastAsia"/>
              </w:rPr>
              <w:t>2025</w:t>
            </w:r>
            <w:r w:rsidRPr="00A85879">
              <w:rPr>
                <w:rFonts w:hint="eastAsia"/>
              </w:rPr>
              <w:t>年第</w:t>
            </w:r>
            <w:r w:rsidRPr="00A85879">
              <w:rPr>
                <w:rFonts w:hint="eastAsia"/>
              </w:rPr>
              <w:t>3</w:t>
            </w:r>
            <w:r w:rsidRPr="00A85879">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21DDAB89" w14:textId="1970EA6C" w:rsidR="00F57ABD" w:rsidRPr="00141265" w:rsidRDefault="00F57ABD" w:rsidP="00F57ABD">
            <w:pPr>
              <w:widowControl/>
              <w:jc w:val="center"/>
            </w:pPr>
            <w:r w:rsidRPr="00A85879">
              <w:t>2025-10-28</w:t>
            </w:r>
          </w:p>
        </w:tc>
      </w:tr>
      <w:tr w:rsidR="00F57ABD" w14:paraId="5D6661D6"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9B0637D" w14:textId="3418C895" w:rsidR="00F57ABD" w:rsidRPr="00F57ABD" w:rsidRDefault="00F57ABD" w:rsidP="00F57ABD">
            <w:pPr>
              <w:widowControl/>
              <w:jc w:val="center"/>
              <w:rPr>
                <w:rFonts w:ascii="宋体" w:hAnsi="宋体"/>
                <w:sz w:val="24"/>
              </w:rPr>
            </w:pPr>
            <w:r w:rsidRPr="00F57ABD">
              <w:rPr>
                <w:rFonts w:ascii="宋体" w:hAnsi="宋体" w:hint="eastAsia"/>
                <w:color w:val="000000"/>
                <w:sz w:val="24"/>
              </w:rPr>
              <w:t>132</w:t>
            </w:r>
          </w:p>
        </w:tc>
        <w:tc>
          <w:tcPr>
            <w:tcW w:w="7726" w:type="dxa"/>
            <w:tcBorders>
              <w:top w:val="single" w:sz="4" w:space="0" w:color="auto"/>
              <w:left w:val="nil"/>
              <w:bottom w:val="single" w:sz="4" w:space="0" w:color="auto"/>
              <w:right w:val="single" w:sz="4" w:space="0" w:color="auto"/>
            </w:tcBorders>
            <w:shd w:val="clear" w:color="auto" w:fill="auto"/>
            <w:noWrap/>
          </w:tcPr>
          <w:p w14:paraId="3EE584E8" w14:textId="1D6579FA" w:rsidR="00F57ABD" w:rsidRPr="0089403A" w:rsidRDefault="00F57ABD" w:rsidP="00F57ABD">
            <w:pPr>
              <w:widowControl/>
              <w:jc w:val="left"/>
            </w:pPr>
            <w:r w:rsidRPr="00A85879">
              <w:rPr>
                <w:rFonts w:hint="eastAsia"/>
              </w:rPr>
              <w:t>朱雀产业</w:t>
            </w:r>
            <w:proofErr w:type="gramStart"/>
            <w:r w:rsidRPr="00A85879">
              <w:rPr>
                <w:rFonts w:hint="eastAsia"/>
              </w:rPr>
              <w:t>臻</w:t>
            </w:r>
            <w:proofErr w:type="gramEnd"/>
            <w:r w:rsidRPr="00A85879">
              <w:rPr>
                <w:rFonts w:hint="eastAsia"/>
              </w:rPr>
              <w:t>选混合型证券投资基金</w:t>
            </w:r>
            <w:r w:rsidRPr="00A85879">
              <w:rPr>
                <w:rFonts w:hint="eastAsia"/>
              </w:rPr>
              <w:t>2025</w:t>
            </w:r>
            <w:r w:rsidRPr="00A85879">
              <w:rPr>
                <w:rFonts w:hint="eastAsia"/>
              </w:rPr>
              <w:t>年中期报告</w:t>
            </w:r>
          </w:p>
        </w:tc>
        <w:tc>
          <w:tcPr>
            <w:tcW w:w="1630" w:type="dxa"/>
            <w:tcBorders>
              <w:top w:val="single" w:sz="4" w:space="0" w:color="auto"/>
              <w:left w:val="nil"/>
              <w:bottom w:val="single" w:sz="4" w:space="0" w:color="auto"/>
              <w:right w:val="single" w:sz="4" w:space="0" w:color="auto"/>
            </w:tcBorders>
            <w:shd w:val="clear" w:color="auto" w:fill="auto"/>
            <w:noWrap/>
          </w:tcPr>
          <w:p w14:paraId="0628919A" w14:textId="3F029F1F" w:rsidR="00F57ABD" w:rsidRPr="00141265" w:rsidRDefault="00F57ABD" w:rsidP="00F57ABD">
            <w:pPr>
              <w:widowControl/>
              <w:jc w:val="center"/>
            </w:pPr>
            <w:r w:rsidRPr="00A85879">
              <w:t>2025-08-29</w:t>
            </w:r>
          </w:p>
        </w:tc>
      </w:tr>
      <w:tr w:rsidR="00F57ABD" w14:paraId="652DB309"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C57A245" w14:textId="35D3BE11"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133</w:t>
            </w:r>
          </w:p>
        </w:tc>
        <w:tc>
          <w:tcPr>
            <w:tcW w:w="7726" w:type="dxa"/>
            <w:tcBorders>
              <w:top w:val="single" w:sz="4" w:space="0" w:color="auto"/>
              <w:left w:val="nil"/>
              <w:bottom w:val="single" w:sz="4" w:space="0" w:color="auto"/>
              <w:right w:val="single" w:sz="4" w:space="0" w:color="auto"/>
            </w:tcBorders>
            <w:shd w:val="clear" w:color="auto" w:fill="auto"/>
            <w:noWrap/>
          </w:tcPr>
          <w:p w14:paraId="58F8FD31" w14:textId="6B0A0922"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2025</w:t>
            </w:r>
            <w:r w:rsidRPr="0089403A">
              <w:rPr>
                <w:rFonts w:hint="eastAsia"/>
              </w:rPr>
              <w:t>年第</w:t>
            </w:r>
            <w:r w:rsidRPr="0089403A">
              <w:rPr>
                <w:rFonts w:hint="eastAsia"/>
              </w:rPr>
              <w:t>2</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63162F9E" w14:textId="7B0D513A" w:rsidR="00F57ABD" w:rsidRDefault="00F57ABD" w:rsidP="00F57ABD">
            <w:pPr>
              <w:widowControl/>
              <w:jc w:val="center"/>
              <w:rPr>
                <w:rFonts w:ascii="等线" w:eastAsia="等线" w:hAnsi="等线"/>
                <w:color w:val="000000"/>
                <w:sz w:val="22"/>
                <w:szCs w:val="22"/>
              </w:rPr>
            </w:pPr>
            <w:r w:rsidRPr="00141265">
              <w:t>2025-07-21</w:t>
            </w:r>
          </w:p>
        </w:tc>
      </w:tr>
      <w:tr w:rsidR="00F57ABD" w14:paraId="43B43CA3"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53A5D07" w14:textId="172F6606"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134</w:t>
            </w:r>
          </w:p>
        </w:tc>
        <w:tc>
          <w:tcPr>
            <w:tcW w:w="7726" w:type="dxa"/>
            <w:tcBorders>
              <w:top w:val="single" w:sz="4" w:space="0" w:color="auto"/>
              <w:left w:val="nil"/>
              <w:bottom w:val="single" w:sz="4" w:space="0" w:color="auto"/>
              <w:right w:val="single" w:sz="4" w:space="0" w:color="auto"/>
            </w:tcBorders>
            <w:shd w:val="clear" w:color="auto" w:fill="auto"/>
            <w:noWrap/>
          </w:tcPr>
          <w:p w14:paraId="4B0F9994" w14:textId="30804FA0"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2025</w:t>
            </w:r>
            <w:r w:rsidRPr="0089403A">
              <w:rPr>
                <w:rFonts w:hint="eastAsia"/>
              </w:rPr>
              <w:t>年第</w:t>
            </w:r>
            <w:r w:rsidRPr="0089403A">
              <w:rPr>
                <w:rFonts w:hint="eastAsia"/>
              </w:rPr>
              <w:t>1</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308399E9" w14:textId="457B6E9D" w:rsidR="00F57ABD" w:rsidRDefault="00F57ABD" w:rsidP="00F57ABD">
            <w:pPr>
              <w:widowControl/>
              <w:jc w:val="center"/>
              <w:rPr>
                <w:rFonts w:ascii="等线" w:eastAsia="等线" w:hAnsi="等线"/>
                <w:color w:val="000000"/>
                <w:sz w:val="22"/>
                <w:szCs w:val="22"/>
              </w:rPr>
            </w:pPr>
            <w:r w:rsidRPr="00141265">
              <w:t>2025-04-16</w:t>
            </w:r>
          </w:p>
        </w:tc>
      </w:tr>
      <w:tr w:rsidR="00F57ABD" w14:paraId="0C2E5BF3"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4870D82" w14:textId="1069B179"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135</w:t>
            </w:r>
          </w:p>
        </w:tc>
        <w:tc>
          <w:tcPr>
            <w:tcW w:w="7726" w:type="dxa"/>
            <w:tcBorders>
              <w:top w:val="single" w:sz="4" w:space="0" w:color="auto"/>
              <w:left w:val="nil"/>
              <w:bottom w:val="single" w:sz="4" w:space="0" w:color="auto"/>
              <w:right w:val="single" w:sz="4" w:space="0" w:color="auto"/>
            </w:tcBorders>
            <w:shd w:val="clear" w:color="auto" w:fill="auto"/>
            <w:noWrap/>
          </w:tcPr>
          <w:p w14:paraId="7C1E1B53" w14:textId="25A9746E"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2024</w:t>
            </w:r>
            <w:r w:rsidRPr="0089403A">
              <w:rPr>
                <w:rFonts w:hint="eastAsia"/>
              </w:rPr>
              <w:t>年年度报告</w:t>
            </w:r>
          </w:p>
        </w:tc>
        <w:tc>
          <w:tcPr>
            <w:tcW w:w="1630" w:type="dxa"/>
            <w:tcBorders>
              <w:top w:val="single" w:sz="4" w:space="0" w:color="auto"/>
              <w:left w:val="nil"/>
              <w:bottom w:val="single" w:sz="4" w:space="0" w:color="auto"/>
              <w:right w:val="single" w:sz="4" w:space="0" w:color="auto"/>
            </w:tcBorders>
            <w:shd w:val="clear" w:color="auto" w:fill="auto"/>
            <w:noWrap/>
          </w:tcPr>
          <w:p w14:paraId="2A0B3CF5" w14:textId="70E45B14" w:rsidR="00F57ABD" w:rsidRDefault="00F57ABD" w:rsidP="00F57ABD">
            <w:pPr>
              <w:widowControl/>
              <w:jc w:val="center"/>
              <w:rPr>
                <w:rFonts w:ascii="等线" w:eastAsia="等线" w:hAnsi="等线"/>
                <w:color w:val="000000"/>
                <w:sz w:val="22"/>
                <w:szCs w:val="22"/>
              </w:rPr>
            </w:pPr>
            <w:r w:rsidRPr="00141265">
              <w:t>2025-03-28</w:t>
            </w:r>
          </w:p>
        </w:tc>
      </w:tr>
      <w:tr w:rsidR="00F57ABD" w14:paraId="30FEEA9D"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98A1DB1" w14:textId="41CA38C3"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136</w:t>
            </w:r>
          </w:p>
        </w:tc>
        <w:tc>
          <w:tcPr>
            <w:tcW w:w="7726" w:type="dxa"/>
            <w:tcBorders>
              <w:top w:val="single" w:sz="4" w:space="0" w:color="auto"/>
              <w:left w:val="nil"/>
              <w:bottom w:val="single" w:sz="4" w:space="0" w:color="auto"/>
              <w:right w:val="single" w:sz="4" w:space="0" w:color="auto"/>
            </w:tcBorders>
            <w:shd w:val="clear" w:color="auto" w:fill="auto"/>
            <w:noWrap/>
          </w:tcPr>
          <w:p w14:paraId="72A1F3C7" w14:textId="72644CEC"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2024</w:t>
            </w:r>
            <w:r w:rsidRPr="0089403A">
              <w:rPr>
                <w:rFonts w:hint="eastAsia"/>
              </w:rPr>
              <w:t>年第</w:t>
            </w:r>
            <w:r w:rsidRPr="0089403A">
              <w:rPr>
                <w:rFonts w:hint="eastAsia"/>
              </w:rPr>
              <w:t>4</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4A120963" w14:textId="0CE7DBE5" w:rsidR="00F57ABD" w:rsidRDefault="00F57ABD" w:rsidP="00F57ABD">
            <w:pPr>
              <w:widowControl/>
              <w:jc w:val="center"/>
              <w:rPr>
                <w:rFonts w:ascii="等线" w:eastAsia="等线" w:hAnsi="等线"/>
                <w:color w:val="000000"/>
                <w:sz w:val="22"/>
                <w:szCs w:val="22"/>
              </w:rPr>
            </w:pPr>
            <w:r w:rsidRPr="00141265">
              <w:t>2025-01-22</w:t>
            </w:r>
          </w:p>
        </w:tc>
      </w:tr>
      <w:tr w:rsidR="00F57ABD" w14:paraId="0046A2B3"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E7B6619" w14:textId="05F06776"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137</w:t>
            </w:r>
          </w:p>
        </w:tc>
        <w:tc>
          <w:tcPr>
            <w:tcW w:w="7726" w:type="dxa"/>
            <w:tcBorders>
              <w:top w:val="single" w:sz="4" w:space="0" w:color="auto"/>
              <w:left w:val="nil"/>
              <w:bottom w:val="single" w:sz="4" w:space="0" w:color="auto"/>
              <w:right w:val="single" w:sz="4" w:space="0" w:color="auto"/>
            </w:tcBorders>
            <w:shd w:val="clear" w:color="auto" w:fill="auto"/>
            <w:noWrap/>
          </w:tcPr>
          <w:p w14:paraId="1F08977D" w14:textId="59EE3113"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2024</w:t>
            </w:r>
            <w:r w:rsidRPr="0089403A">
              <w:rPr>
                <w:rFonts w:hint="eastAsia"/>
              </w:rPr>
              <w:t>年第</w:t>
            </w:r>
            <w:r w:rsidRPr="0089403A">
              <w:rPr>
                <w:rFonts w:hint="eastAsia"/>
              </w:rPr>
              <w:t>3</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27A8580D" w14:textId="21DD7973" w:rsidR="00F57ABD" w:rsidRDefault="00F57ABD" w:rsidP="00F57ABD">
            <w:pPr>
              <w:widowControl/>
              <w:jc w:val="center"/>
              <w:rPr>
                <w:rFonts w:ascii="等线" w:eastAsia="等线" w:hAnsi="等线"/>
                <w:color w:val="000000"/>
                <w:sz w:val="22"/>
                <w:szCs w:val="22"/>
              </w:rPr>
            </w:pPr>
            <w:r w:rsidRPr="00141265">
              <w:t>2024-10-25</w:t>
            </w:r>
          </w:p>
        </w:tc>
      </w:tr>
      <w:tr w:rsidR="00F57ABD" w14:paraId="7B5C5CA4"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0DC5471" w14:textId="72BDCC71"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138</w:t>
            </w:r>
          </w:p>
        </w:tc>
        <w:tc>
          <w:tcPr>
            <w:tcW w:w="7726" w:type="dxa"/>
            <w:tcBorders>
              <w:top w:val="single" w:sz="4" w:space="0" w:color="auto"/>
              <w:left w:val="nil"/>
              <w:bottom w:val="single" w:sz="4" w:space="0" w:color="auto"/>
              <w:right w:val="single" w:sz="4" w:space="0" w:color="auto"/>
            </w:tcBorders>
            <w:shd w:val="clear" w:color="auto" w:fill="auto"/>
            <w:noWrap/>
          </w:tcPr>
          <w:p w14:paraId="0FA03B5C" w14:textId="5E885FD1"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2024</w:t>
            </w:r>
            <w:r w:rsidRPr="0089403A">
              <w:rPr>
                <w:rFonts w:hint="eastAsia"/>
              </w:rPr>
              <w:t>年中期报告</w:t>
            </w:r>
          </w:p>
        </w:tc>
        <w:tc>
          <w:tcPr>
            <w:tcW w:w="1630" w:type="dxa"/>
            <w:tcBorders>
              <w:top w:val="single" w:sz="4" w:space="0" w:color="auto"/>
              <w:left w:val="nil"/>
              <w:bottom w:val="single" w:sz="4" w:space="0" w:color="auto"/>
              <w:right w:val="single" w:sz="4" w:space="0" w:color="auto"/>
            </w:tcBorders>
            <w:shd w:val="clear" w:color="auto" w:fill="auto"/>
            <w:noWrap/>
          </w:tcPr>
          <w:p w14:paraId="11120527" w14:textId="30D0CBC3" w:rsidR="00F57ABD" w:rsidRDefault="00F57ABD" w:rsidP="00F57ABD">
            <w:pPr>
              <w:widowControl/>
              <w:jc w:val="center"/>
              <w:rPr>
                <w:rFonts w:ascii="等线" w:eastAsia="等线" w:hAnsi="等线"/>
                <w:color w:val="000000"/>
                <w:sz w:val="22"/>
                <w:szCs w:val="22"/>
              </w:rPr>
            </w:pPr>
            <w:r w:rsidRPr="00141265">
              <w:t>2024-08-29</w:t>
            </w:r>
          </w:p>
        </w:tc>
      </w:tr>
      <w:tr w:rsidR="00F57ABD" w14:paraId="3BAF2830"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15AF79E" w14:textId="7658FC31"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139</w:t>
            </w:r>
          </w:p>
        </w:tc>
        <w:tc>
          <w:tcPr>
            <w:tcW w:w="7726" w:type="dxa"/>
            <w:tcBorders>
              <w:top w:val="single" w:sz="4" w:space="0" w:color="auto"/>
              <w:left w:val="nil"/>
              <w:bottom w:val="single" w:sz="4" w:space="0" w:color="auto"/>
              <w:right w:val="single" w:sz="4" w:space="0" w:color="auto"/>
            </w:tcBorders>
            <w:shd w:val="clear" w:color="auto" w:fill="auto"/>
            <w:noWrap/>
          </w:tcPr>
          <w:p w14:paraId="39DA1B93" w14:textId="10A96C85"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2024</w:t>
            </w:r>
            <w:r w:rsidRPr="0089403A">
              <w:rPr>
                <w:rFonts w:hint="eastAsia"/>
              </w:rPr>
              <w:t>年第</w:t>
            </w:r>
            <w:r w:rsidRPr="0089403A">
              <w:rPr>
                <w:rFonts w:hint="eastAsia"/>
              </w:rPr>
              <w:t>2</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7F60B290" w14:textId="4EB4D540" w:rsidR="00F57ABD" w:rsidRDefault="00F57ABD" w:rsidP="00F57ABD">
            <w:pPr>
              <w:widowControl/>
              <w:jc w:val="center"/>
              <w:rPr>
                <w:rFonts w:ascii="等线" w:eastAsia="等线" w:hAnsi="等线"/>
                <w:color w:val="000000"/>
                <w:sz w:val="22"/>
                <w:szCs w:val="22"/>
              </w:rPr>
            </w:pPr>
            <w:r w:rsidRPr="00141265">
              <w:t>2024-07-19</w:t>
            </w:r>
          </w:p>
        </w:tc>
      </w:tr>
      <w:tr w:rsidR="00F57ABD" w14:paraId="1B1F10C8"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9A5863D" w14:textId="4ECFC86E"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140</w:t>
            </w:r>
          </w:p>
        </w:tc>
        <w:tc>
          <w:tcPr>
            <w:tcW w:w="7726" w:type="dxa"/>
            <w:tcBorders>
              <w:top w:val="single" w:sz="4" w:space="0" w:color="auto"/>
              <w:left w:val="nil"/>
              <w:bottom w:val="single" w:sz="4" w:space="0" w:color="auto"/>
              <w:right w:val="single" w:sz="4" w:space="0" w:color="auto"/>
            </w:tcBorders>
            <w:shd w:val="clear" w:color="auto" w:fill="auto"/>
            <w:noWrap/>
          </w:tcPr>
          <w:p w14:paraId="6E1BB2F7" w14:textId="5A7A2683"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2024</w:t>
            </w:r>
            <w:r w:rsidRPr="0089403A">
              <w:rPr>
                <w:rFonts w:hint="eastAsia"/>
              </w:rPr>
              <w:t>年第</w:t>
            </w:r>
            <w:r w:rsidRPr="0089403A">
              <w:rPr>
                <w:rFonts w:hint="eastAsia"/>
              </w:rPr>
              <w:t>1</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37ADA1A5" w14:textId="1B245259" w:rsidR="00F57ABD" w:rsidRDefault="00F57ABD" w:rsidP="00F57ABD">
            <w:pPr>
              <w:widowControl/>
              <w:jc w:val="center"/>
              <w:rPr>
                <w:rFonts w:ascii="等线" w:eastAsia="等线" w:hAnsi="等线"/>
                <w:color w:val="000000"/>
                <w:sz w:val="22"/>
                <w:szCs w:val="22"/>
              </w:rPr>
            </w:pPr>
            <w:r w:rsidRPr="00141265">
              <w:t>2024-04-22</w:t>
            </w:r>
          </w:p>
        </w:tc>
      </w:tr>
      <w:tr w:rsidR="00F57ABD" w14:paraId="017179FC"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1D39A55" w14:textId="1448FBB4"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141</w:t>
            </w:r>
          </w:p>
        </w:tc>
        <w:tc>
          <w:tcPr>
            <w:tcW w:w="7726" w:type="dxa"/>
            <w:tcBorders>
              <w:top w:val="single" w:sz="4" w:space="0" w:color="auto"/>
              <w:left w:val="nil"/>
              <w:bottom w:val="single" w:sz="4" w:space="0" w:color="auto"/>
              <w:right w:val="single" w:sz="4" w:space="0" w:color="auto"/>
            </w:tcBorders>
            <w:shd w:val="clear" w:color="auto" w:fill="auto"/>
            <w:noWrap/>
          </w:tcPr>
          <w:p w14:paraId="7DD461E7" w14:textId="2C03A06A"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2023</w:t>
            </w:r>
            <w:r w:rsidRPr="0089403A">
              <w:rPr>
                <w:rFonts w:hint="eastAsia"/>
              </w:rPr>
              <w:t>年年度报告</w:t>
            </w:r>
          </w:p>
        </w:tc>
        <w:tc>
          <w:tcPr>
            <w:tcW w:w="1630" w:type="dxa"/>
            <w:tcBorders>
              <w:top w:val="single" w:sz="4" w:space="0" w:color="auto"/>
              <w:left w:val="nil"/>
              <w:bottom w:val="single" w:sz="4" w:space="0" w:color="auto"/>
              <w:right w:val="single" w:sz="4" w:space="0" w:color="auto"/>
            </w:tcBorders>
            <w:shd w:val="clear" w:color="auto" w:fill="auto"/>
            <w:noWrap/>
          </w:tcPr>
          <w:p w14:paraId="57BCCF81" w14:textId="222DD1DC" w:rsidR="00F57ABD" w:rsidRDefault="00F57ABD" w:rsidP="00F57ABD">
            <w:pPr>
              <w:widowControl/>
              <w:jc w:val="center"/>
              <w:rPr>
                <w:rFonts w:ascii="等线" w:eastAsia="等线" w:hAnsi="等线"/>
                <w:color w:val="000000"/>
                <w:sz w:val="22"/>
                <w:szCs w:val="22"/>
              </w:rPr>
            </w:pPr>
            <w:r w:rsidRPr="00141265">
              <w:t>2024-03-29</w:t>
            </w:r>
          </w:p>
        </w:tc>
      </w:tr>
      <w:tr w:rsidR="00F57ABD" w14:paraId="42029E29"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9615E28" w14:textId="4EECF6C4"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142</w:t>
            </w:r>
          </w:p>
        </w:tc>
        <w:tc>
          <w:tcPr>
            <w:tcW w:w="7726" w:type="dxa"/>
            <w:tcBorders>
              <w:top w:val="single" w:sz="4" w:space="0" w:color="auto"/>
              <w:left w:val="nil"/>
              <w:bottom w:val="single" w:sz="4" w:space="0" w:color="auto"/>
              <w:right w:val="single" w:sz="4" w:space="0" w:color="auto"/>
            </w:tcBorders>
            <w:shd w:val="clear" w:color="auto" w:fill="auto"/>
            <w:noWrap/>
          </w:tcPr>
          <w:p w14:paraId="27662BC8" w14:textId="6B173AB2"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2023</w:t>
            </w:r>
            <w:r w:rsidRPr="0089403A">
              <w:rPr>
                <w:rFonts w:hint="eastAsia"/>
              </w:rPr>
              <w:t>年第</w:t>
            </w:r>
            <w:r w:rsidRPr="0089403A">
              <w:rPr>
                <w:rFonts w:hint="eastAsia"/>
              </w:rPr>
              <w:t>4</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15AA516E" w14:textId="7533B87F" w:rsidR="00F57ABD" w:rsidRDefault="00F57ABD" w:rsidP="00F57ABD">
            <w:pPr>
              <w:widowControl/>
              <w:jc w:val="center"/>
              <w:rPr>
                <w:rFonts w:ascii="等线" w:eastAsia="等线" w:hAnsi="等线"/>
                <w:color w:val="000000"/>
                <w:sz w:val="22"/>
                <w:szCs w:val="22"/>
              </w:rPr>
            </w:pPr>
            <w:r w:rsidRPr="00141265">
              <w:t>2024-01-22</w:t>
            </w:r>
          </w:p>
        </w:tc>
      </w:tr>
      <w:tr w:rsidR="00F57ABD" w14:paraId="6FDA6F9F"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97A6362" w14:textId="73C396E4"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143</w:t>
            </w:r>
          </w:p>
        </w:tc>
        <w:tc>
          <w:tcPr>
            <w:tcW w:w="7726" w:type="dxa"/>
            <w:tcBorders>
              <w:top w:val="single" w:sz="4" w:space="0" w:color="auto"/>
              <w:left w:val="nil"/>
              <w:bottom w:val="single" w:sz="4" w:space="0" w:color="auto"/>
              <w:right w:val="single" w:sz="4" w:space="0" w:color="auto"/>
            </w:tcBorders>
            <w:shd w:val="clear" w:color="auto" w:fill="auto"/>
            <w:noWrap/>
          </w:tcPr>
          <w:p w14:paraId="6743944B" w14:textId="7D95FBDE"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2023</w:t>
            </w:r>
            <w:r w:rsidRPr="0089403A">
              <w:rPr>
                <w:rFonts w:hint="eastAsia"/>
              </w:rPr>
              <w:t>年第</w:t>
            </w:r>
            <w:r w:rsidRPr="0089403A">
              <w:rPr>
                <w:rFonts w:hint="eastAsia"/>
              </w:rPr>
              <w:t>3</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269CFE74" w14:textId="7DEC786B" w:rsidR="00F57ABD" w:rsidRDefault="00F57ABD" w:rsidP="00F57ABD">
            <w:pPr>
              <w:widowControl/>
              <w:jc w:val="center"/>
              <w:rPr>
                <w:rFonts w:ascii="等线" w:eastAsia="等线" w:hAnsi="等线"/>
                <w:color w:val="000000"/>
                <w:sz w:val="22"/>
                <w:szCs w:val="22"/>
              </w:rPr>
            </w:pPr>
            <w:r w:rsidRPr="00141265">
              <w:t>2023-10-25</w:t>
            </w:r>
          </w:p>
        </w:tc>
      </w:tr>
      <w:tr w:rsidR="00F57ABD" w14:paraId="373CB61A"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9F90B8B" w14:textId="318092EE"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144</w:t>
            </w:r>
          </w:p>
        </w:tc>
        <w:tc>
          <w:tcPr>
            <w:tcW w:w="7726" w:type="dxa"/>
            <w:tcBorders>
              <w:top w:val="single" w:sz="4" w:space="0" w:color="auto"/>
              <w:left w:val="nil"/>
              <w:bottom w:val="single" w:sz="4" w:space="0" w:color="auto"/>
              <w:right w:val="single" w:sz="4" w:space="0" w:color="auto"/>
            </w:tcBorders>
            <w:shd w:val="clear" w:color="auto" w:fill="auto"/>
            <w:noWrap/>
          </w:tcPr>
          <w:p w14:paraId="523C92CF" w14:textId="6BD834F1"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2023</w:t>
            </w:r>
            <w:r w:rsidRPr="0089403A">
              <w:rPr>
                <w:rFonts w:hint="eastAsia"/>
              </w:rPr>
              <w:t>年中期报告</w:t>
            </w:r>
          </w:p>
        </w:tc>
        <w:tc>
          <w:tcPr>
            <w:tcW w:w="1630" w:type="dxa"/>
            <w:tcBorders>
              <w:top w:val="single" w:sz="4" w:space="0" w:color="auto"/>
              <w:left w:val="nil"/>
              <w:bottom w:val="single" w:sz="4" w:space="0" w:color="auto"/>
              <w:right w:val="single" w:sz="4" w:space="0" w:color="auto"/>
            </w:tcBorders>
            <w:shd w:val="clear" w:color="auto" w:fill="auto"/>
            <w:noWrap/>
          </w:tcPr>
          <w:p w14:paraId="78D8FBB1" w14:textId="6073F936" w:rsidR="00F57ABD" w:rsidRDefault="00F57ABD" w:rsidP="00F57ABD">
            <w:pPr>
              <w:widowControl/>
              <w:jc w:val="center"/>
              <w:rPr>
                <w:rFonts w:ascii="等线" w:eastAsia="等线" w:hAnsi="等线"/>
                <w:color w:val="000000"/>
                <w:sz w:val="22"/>
                <w:szCs w:val="22"/>
              </w:rPr>
            </w:pPr>
            <w:r w:rsidRPr="00141265">
              <w:t>2023-08-30</w:t>
            </w:r>
          </w:p>
        </w:tc>
      </w:tr>
      <w:tr w:rsidR="00F57ABD" w14:paraId="66DE6F2B"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F22E694" w14:textId="2C916FBB"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145</w:t>
            </w:r>
          </w:p>
        </w:tc>
        <w:tc>
          <w:tcPr>
            <w:tcW w:w="7726" w:type="dxa"/>
            <w:tcBorders>
              <w:top w:val="single" w:sz="4" w:space="0" w:color="auto"/>
              <w:left w:val="nil"/>
              <w:bottom w:val="single" w:sz="4" w:space="0" w:color="auto"/>
              <w:right w:val="single" w:sz="4" w:space="0" w:color="auto"/>
            </w:tcBorders>
            <w:shd w:val="clear" w:color="auto" w:fill="auto"/>
            <w:noWrap/>
          </w:tcPr>
          <w:p w14:paraId="68F47B27" w14:textId="4C0ACC67"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2023</w:t>
            </w:r>
            <w:r w:rsidRPr="0089403A">
              <w:rPr>
                <w:rFonts w:hint="eastAsia"/>
              </w:rPr>
              <w:t>年第</w:t>
            </w:r>
            <w:r w:rsidRPr="0089403A">
              <w:rPr>
                <w:rFonts w:hint="eastAsia"/>
              </w:rPr>
              <w:t>2</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06257AA3" w14:textId="55505CB7" w:rsidR="00F57ABD" w:rsidRDefault="00F57ABD" w:rsidP="00F57ABD">
            <w:pPr>
              <w:widowControl/>
              <w:jc w:val="center"/>
              <w:rPr>
                <w:rFonts w:ascii="等线" w:eastAsia="等线" w:hAnsi="等线"/>
                <w:color w:val="000000"/>
                <w:sz w:val="22"/>
                <w:szCs w:val="22"/>
              </w:rPr>
            </w:pPr>
            <w:r w:rsidRPr="00141265">
              <w:t>2023-07-21</w:t>
            </w:r>
          </w:p>
        </w:tc>
      </w:tr>
      <w:tr w:rsidR="00F57ABD" w14:paraId="2B335D9A"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E5BA80C" w14:textId="62782668" w:rsidR="00F57ABD" w:rsidRPr="00F57ABD" w:rsidRDefault="00F57ABD" w:rsidP="00F57ABD">
            <w:pPr>
              <w:widowControl/>
              <w:jc w:val="center"/>
              <w:rPr>
                <w:rFonts w:ascii="宋体" w:hAnsi="宋体"/>
                <w:color w:val="000000"/>
                <w:sz w:val="24"/>
              </w:rPr>
            </w:pPr>
            <w:r w:rsidRPr="00F57ABD">
              <w:rPr>
                <w:rFonts w:ascii="宋体" w:hAnsi="宋体" w:hint="eastAsia"/>
                <w:color w:val="000000"/>
                <w:sz w:val="24"/>
              </w:rPr>
              <w:t>146</w:t>
            </w:r>
          </w:p>
        </w:tc>
        <w:tc>
          <w:tcPr>
            <w:tcW w:w="7726" w:type="dxa"/>
            <w:tcBorders>
              <w:top w:val="single" w:sz="4" w:space="0" w:color="auto"/>
              <w:left w:val="nil"/>
              <w:bottom w:val="single" w:sz="4" w:space="0" w:color="auto"/>
              <w:right w:val="single" w:sz="4" w:space="0" w:color="auto"/>
            </w:tcBorders>
            <w:shd w:val="clear" w:color="auto" w:fill="auto"/>
            <w:noWrap/>
          </w:tcPr>
          <w:p w14:paraId="1D4AD5FD" w14:textId="25549F84" w:rsidR="00F57ABD" w:rsidRDefault="00F57ABD" w:rsidP="00F57ABD">
            <w:pPr>
              <w:widowControl/>
              <w:jc w:val="left"/>
              <w:rPr>
                <w:rFonts w:ascii="等线" w:eastAsia="等线" w:hAnsi="等线"/>
                <w:color w:val="000000"/>
                <w:sz w:val="22"/>
                <w:szCs w:val="22"/>
              </w:rPr>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2023</w:t>
            </w:r>
            <w:r w:rsidRPr="0089403A">
              <w:rPr>
                <w:rFonts w:hint="eastAsia"/>
              </w:rPr>
              <w:t>年第</w:t>
            </w:r>
            <w:r w:rsidRPr="0089403A">
              <w:rPr>
                <w:rFonts w:hint="eastAsia"/>
              </w:rPr>
              <w:t>1</w:t>
            </w:r>
            <w:r w:rsidRPr="0089403A">
              <w:rPr>
                <w:rFonts w:hint="eastAsia"/>
              </w:rPr>
              <w:t>季度报告</w:t>
            </w:r>
          </w:p>
        </w:tc>
        <w:tc>
          <w:tcPr>
            <w:tcW w:w="1630" w:type="dxa"/>
            <w:tcBorders>
              <w:top w:val="single" w:sz="4" w:space="0" w:color="auto"/>
              <w:left w:val="nil"/>
              <w:bottom w:val="single" w:sz="4" w:space="0" w:color="auto"/>
              <w:right w:val="single" w:sz="4" w:space="0" w:color="auto"/>
            </w:tcBorders>
            <w:shd w:val="clear" w:color="auto" w:fill="auto"/>
            <w:noWrap/>
          </w:tcPr>
          <w:p w14:paraId="5B0007AD" w14:textId="3A785FC6" w:rsidR="00F57ABD" w:rsidRDefault="00F57ABD" w:rsidP="00F57ABD">
            <w:pPr>
              <w:widowControl/>
              <w:jc w:val="center"/>
              <w:rPr>
                <w:rFonts w:ascii="等线" w:eastAsia="等线" w:hAnsi="等线"/>
                <w:color w:val="000000"/>
                <w:sz w:val="22"/>
                <w:szCs w:val="22"/>
              </w:rPr>
            </w:pPr>
            <w:r w:rsidRPr="00141265">
              <w:t>2023-04-21</w:t>
            </w:r>
          </w:p>
        </w:tc>
      </w:tr>
      <w:tr w:rsidR="00F57ABD" w14:paraId="6B9D67D0"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43CB3DF" w14:textId="36665CF1" w:rsidR="00F57ABD" w:rsidRPr="00F57ABD" w:rsidRDefault="00F57ABD" w:rsidP="00F57ABD">
            <w:pPr>
              <w:widowControl/>
              <w:jc w:val="center"/>
              <w:rPr>
                <w:rFonts w:ascii="宋体" w:hAnsi="宋体"/>
                <w:sz w:val="24"/>
              </w:rPr>
            </w:pPr>
            <w:r w:rsidRPr="00F57ABD">
              <w:rPr>
                <w:rFonts w:ascii="宋体" w:hAnsi="宋体" w:hint="eastAsia"/>
                <w:color w:val="000000"/>
                <w:sz w:val="24"/>
              </w:rPr>
              <w:t>147</w:t>
            </w:r>
          </w:p>
        </w:tc>
        <w:tc>
          <w:tcPr>
            <w:tcW w:w="7726" w:type="dxa"/>
            <w:tcBorders>
              <w:top w:val="single" w:sz="4" w:space="0" w:color="auto"/>
              <w:left w:val="nil"/>
              <w:bottom w:val="single" w:sz="4" w:space="0" w:color="auto"/>
              <w:right w:val="single" w:sz="4" w:space="0" w:color="auto"/>
            </w:tcBorders>
            <w:shd w:val="clear" w:color="auto" w:fill="auto"/>
            <w:noWrap/>
          </w:tcPr>
          <w:p w14:paraId="47CD4734" w14:textId="2D685C16"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2022</w:t>
            </w:r>
            <w:r w:rsidRPr="0089403A">
              <w:rPr>
                <w:rFonts w:hint="eastAsia"/>
              </w:rPr>
              <w:t>年年度报告</w:t>
            </w:r>
          </w:p>
        </w:tc>
        <w:tc>
          <w:tcPr>
            <w:tcW w:w="1630" w:type="dxa"/>
            <w:tcBorders>
              <w:top w:val="single" w:sz="4" w:space="0" w:color="auto"/>
              <w:left w:val="nil"/>
              <w:bottom w:val="single" w:sz="4" w:space="0" w:color="auto"/>
              <w:right w:val="single" w:sz="4" w:space="0" w:color="auto"/>
            </w:tcBorders>
            <w:shd w:val="clear" w:color="auto" w:fill="auto"/>
            <w:noWrap/>
          </w:tcPr>
          <w:p w14:paraId="293183E3" w14:textId="301C3E71" w:rsidR="00F57ABD" w:rsidRDefault="00F57ABD" w:rsidP="00F57ABD">
            <w:pPr>
              <w:widowControl/>
              <w:jc w:val="center"/>
            </w:pPr>
            <w:r w:rsidRPr="00141265">
              <w:t>2023-03-30</w:t>
            </w:r>
          </w:p>
        </w:tc>
      </w:tr>
      <w:tr w:rsidR="00F57ABD" w14:paraId="2A48DABE"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0A49A4A" w14:textId="10085861" w:rsidR="00F57ABD" w:rsidRPr="00F57ABD" w:rsidRDefault="00F57ABD" w:rsidP="00F57ABD">
            <w:pPr>
              <w:widowControl/>
              <w:jc w:val="center"/>
              <w:rPr>
                <w:rFonts w:ascii="宋体" w:hAnsi="宋体"/>
                <w:sz w:val="24"/>
              </w:rPr>
            </w:pPr>
            <w:r w:rsidRPr="00F57ABD">
              <w:rPr>
                <w:rFonts w:ascii="宋体" w:hAnsi="宋体" w:hint="eastAsia"/>
                <w:color w:val="000000"/>
                <w:sz w:val="24"/>
              </w:rPr>
              <w:t>148</w:t>
            </w:r>
          </w:p>
        </w:tc>
        <w:tc>
          <w:tcPr>
            <w:tcW w:w="7726" w:type="dxa"/>
            <w:tcBorders>
              <w:top w:val="single" w:sz="4" w:space="0" w:color="auto"/>
              <w:left w:val="nil"/>
              <w:bottom w:val="single" w:sz="4" w:space="0" w:color="auto"/>
              <w:right w:val="single" w:sz="4" w:space="0" w:color="auto"/>
            </w:tcBorders>
            <w:shd w:val="clear" w:color="auto" w:fill="auto"/>
            <w:noWrap/>
          </w:tcPr>
          <w:p w14:paraId="15BFC8F3" w14:textId="17A18C37"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2022</w:t>
            </w:r>
            <w:r w:rsidRPr="0089403A">
              <w:rPr>
                <w:rFonts w:hint="eastAsia"/>
              </w:rPr>
              <w:t>年第四季度报告</w:t>
            </w:r>
          </w:p>
        </w:tc>
        <w:tc>
          <w:tcPr>
            <w:tcW w:w="1630" w:type="dxa"/>
            <w:tcBorders>
              <w:top w:val="single" w:sz="4" w:space="0" w:color="auto"/>
              <w:left w:val="nil"/>
              <w:bottom w:val="single" w:sz="4" w:space="0" w:color="auto"/>
              <w:right w:val="single" w:sz="4" w:space="0" w:color="auto"/>
            </w:tcBorders>
            <w:shd w:val="clear" w:color="auto" w:fill="auto"/>
            <w:noWrap/>
          </w:tcPr>
          <w:p w14:paraId="798CD15D" w14:textId="46943CC2" w:rsidR="00F57ABD" w:rsidRDefault="00F57ABD" w:rsidP="00F57ABD">
            <w:pPr>
              <w:widowControl/>
              <w:jc w:val="center"/>
            </w:pPr>
            <w:r w:rsidRPr="00141265">
              <w:t>2023-01-20</w:t>
            </w:r>
          </w:p>
        </w:tc>
      </w:tr>
      <w:tr w:rsidR="00F57ABD" w14:paraId="094D9763"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7FC6B89" w14:textId="2B333803" w:rsidR="00F57ABD" w:rsidRPr="00F57ABD" w:rsidRDefault="00F57ABD" w:rsidP="00F57ABD">
            <w:pPr>
              <w:widowControl/>
              <w:jc w:val="center"/>
              <w:rPr>
                <w:rFonts w:ascii="宋体" w:hAnsi="宋体"/>
                <w:sz w:val="24"/>
              </w:rPr>
            </w:pPr>
            <w:r w:rsidRPr="00F57ABD">
              <w:rPr>
                <w:rFonts w:ascii="宋体" w:hAnsi="宋体" w:hint="eastAsia"/>
                <w:color w:val="000000"/>
                <w:sz w:val="24"/>
              </w:rPr>
              <w:t>149</w:t>
            </w:r>
          </w:p>
        </w:tc>
        <w:tc>
          <w:tcPr>
            <w:tcW w:w="7726" w:type="dxa"/>
            <w:tcBorders>
              <w:top w:val="single" w:sz="4" w:space="0" w:color="auto"/>
              <w:left w:val="nil"/>
              <w:bottom w:val="single" w:sz="4" w:space="0" w:color="auto"/>
              <w:right w:val="single" w:sz="4" w:space="0" w:color="auto"/>
            </w:tcBorders>
            <w:shd w:val="clear" w:color="auto" w:fill="auto"/>
            <w:noWrap/>
          </w:tcPr>
          <w:p w14:paraId="39B64FAB" w14:textId="2B8CD3C0"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2022</w:t>
            </w:r>
            <w:r w:rsidRPr="0089403A">
              <w:rPr>
                <w:rFonts w:hint="eastAsia"/>
              </w:rPr>
              <w:t>年第三季度报告</w:t>
            </w:r>
          </w:p>
        </w:tc>
        <w:tc>
          <w:tcPr>
            <w:tcW w:w="1630" w:type="dxa"/>
            <w:tcBorders>
              <w:top w:val="single" w:sz="4" w:space="0" w:color="auto"/>
              <w:left w:val="nil"/>
              <w:bottom w:val="single" w:sz="4" w:space="0" w:color="auto"/>
              <w:right w:val="single" w:sz="4" w:space="0" w:color="auto"/>
            </w:tcBorders>
            <w:shd w:val="clear" w:color="auto" w:fill="auto"/>
            <w:noWrap/>
          </w:tcPr>
          <w:p w14:paraId="221B385A" w14:textId="3FEBB1CC" w:rsidR="00F57ABD" w:rsidRDefault="00F57ABD" w:rsidP="00F57ABD">
            <w:pPr>
              <w:widowControl/>
              <w:jc w:val="center"/>
            </w:pPr>
            <w:r w:rsidRPr="00141265">
              <w:t>2022-10-26</w:t>
            </w:r>
          </w:p>
        </w:tc>
      </w:tr>
      <w:tr w:rsidR="00F57ABD" w14:paraId="677501FD"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0B55768" w14:textId="66F89C76" w:rsidR="00F57ABD" w:rsidRPr="00F57ABD" w:rsidRDefault="00F57ABD" w:rsidP="00F57ABD">
            <w:pPr>
              <w:widowControl/>
              <w:jc w:val="center"/>
              <w:rPr>
                <w:rFonts w:ascii="宋体" w:hAnsi="宋体"/>
                <w:sz w:val="24"/>
              </w:rPr>
            </w:pPr>
            <w:r w:rsidRPr="00F57ABD">
              <w:rPr>
                <w:rFonts w:ascii="宋体" w:hAnsi="宋体" w:hint="eastAsia"/>
                <w:color w:val="000000"/>
                <w:sz w:val="24"/>
              </w:rPr>
              <w:t>150</w:t>
            </w:r>
          </w:p>
        </w:tc>
        <w:tc>
          <w:tcPr>
            <w:tcW w:w="7726" w:type="dxa"/>
            <w:tcBorders>
              <w:top w:val="single" w:sz="4" w:space="0" w:color="auto"/>
              <w:left w:val="nil"/>
              <w:bottom w:val="single" w:sz="4" w:space="0" w:color="auto"/>
              <w:right w:val="single" w:sz="4" w:space="0" w:color="auto"/>
            </w:tcBorders>
            <w:shd w:val="clear" w:color="auto" w:fill="auto"/>
            <w:noWrap/>
          </w:tcPr>
          <w:p w14:paraId="47E6EB3A" w14:textId="54A44850"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2022</w:t>
            </w:r>
            <w:r w:rsidRPr="0089403A">
              <w:rPr>
                <w:rFonts w:hint="eastAsia"/>
              </w:rPr>
              <w:t>年中期报告</w:t>
            </w:r>
          </w:p>
        </w:tc>
        <w:tc>
          <w:tcPr>
            <w:tcW w:w="1630" w:type="dxa"/>
            <w:tcBorders>
              <w:top w:val="single" w:sz="4" w:space="0" w:color="auto"/>
              <w:left w:val="nil"/>
              <w:bottom w:val="single" w:sz="4" w:space="0" w:color="auto"/>
              <w:right w:val="single" w:sz="4" w:space="0" w:color="auto"/>
            </w:tcBorders>
            <w:shd w:val="clear" w:color="auto" w:fill="auto"/>
            <w:noWrap/>
          </w:tcPr>
          <w:p w14:paraId="00DADDA0" w14:textId="5010B859" w:rsidR="00F57ABD" w:rsidRDefault="00F57ABD" w:rsidP="00F57ABD">
            <w:pPr>
              <w:widowControl/>
              <w:jc w:val="center"/>
            </w:pPr>
            <w:r w:rsidRPr="00141265">
              <w:t>2022-08-30</w:t>
            </w:r>
          </w:p>
        </w:tc>
      </w:tr>
      <w:tr w:rsidR="00F57ABD" w14:paraId="0DDEC1C9"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EDA2FF7" w14:textId="6A973EBF" w:rsidR="00F57ABD" w:rsidRPr="00F57ABD" w:rsidRDefault="00F57ABD" w:rsidP="00F57ABD">
            <w:pPr>
              <w:widowControl/>
              <w:jc w:val="center"/>
              <w:rPr>
                <w:rFonts w:ascii="宋体" w:hAnsi="宋体"/>
                <w:sz w:val="24"/>
              </w:rPr>
            </w:pPr>
            <w:r w:rsidRPr="00F57ABD">
              <w:rPr>
                <w:rFonts w:ascii="宋体" w:hAnsi="宋体" w:hint="eastAsia"/>
                <w:color w:val="000000"/>
                <w:sz w:val="24"/>
              </w:rPr>
              <w:t>151</w:t>
            </w:r>
          </w:p>
        </w:tc>
        <w:tc>
          <w:tcPr>
            <w:tcW w:w="7726" w:type="dxa"/>
            <w:tcBorders>
              <w:top w:val="single" w:sz="4" w:space="0" w:color="auto"/>
              <w:left w:val="nil"/>
              <w:bottom w:val="single" w:sz="4" w:space="0" w:color="auto"/>
              <w:right w:val="single" w:sz="4" w:space="0" w:color="auto"/>
            </w:tcBorders>
            <w:shd w:val="clear" w:color="auto" w:fill="auto"/>
            <w:noWrap/>
          </w:tcPr>
          <w:p w14:paraId="636EC8A2" w14:textId="3D76FD8E"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2022</w:t>
            </w:r>
            <w:r w:rsidRPr="0089403A">
              <w:rPr>
                <w:rFonts w:hint="eastAsia"/>
              </w:rPr>
              <w:t>年第二季度报告</w:t>
            </w:r>
          </w:p>
        </w:tc>
        <w:tc>
          <w:tcPr>
            <w:tcW w:w="1630" w:type="dxa"/>
            <w:tcBorders>
              <w:top w:val="single" w:sz="4" w:space="0" w:color="auto"/>
              <w:left w:val="nil"/>
              <w:bottom w:val="single" w:sz="4" w:space="0" w:color="auto"/>
              <w:right w:val="single" w:sz="4" w:space="0" w:color="auto"/>
            </w:tcBorders>
            <w:shd w:val="clear" w:color="auto" w:fill="auto"/>
            <w:noWrap/>
          </w:tcPr>
          <w:p w14:paraId="2C13C7A5" w14:textId="2C7D14FC" w:rsidR="00F57ABD" w:rsidRDefault="00F57ABD" w:rsidP="00F57ABD">
            <w:pPr>
              <w:widowControl/>
              <w:jc w:val="center"/>
            </w:pPr>
            <w:r w:rsidRPr="00141265">
              <w:t>2022-07-21</w:t>
            </w:r>
          </w:p>
        </w:tc>
      </w:tr>
      <w:tr w:rsidR="00F57ABD" w14:paraId="16C5142E"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5BD0261" w14:textId="474F0419" w:rsidR="00F57ABD" w:rsidRPr="00F57ABD" w:rsidRDefault="00F57ABD" w:rsidP="00F57ABD">
            <w:pPr>
              <w:widowControl/>
              <w:jc w:val="center"/>
              <w:rPr>
                <w:rFonts w:ascii="宋体" w:hAnsi="宋体"/>
                <w:sz w:val="24"/>
              </w:rPr>
            </w:pPr>
            <w:r w:rsidRPr="00F57ABD">
              <w:rPr>
                <w:rFonts w:ascii="宋体" w:hAnsi="宋体" w:hint="eastAsia"/>
                <w:color w:val="000000"/>
                <w:sz w:val="24"/>
              </w:rPr>
              <w:t>152</w:t>
            </w:r>
          </w:p>
        </w:tc>
        <w:tc>
          <w:tcPr>
            <w:tcW w:w="7726" w:type="dxa"/>
            <w:tcBorders>
              <w:top w:val="single" w:sz="4" w:space="0" w:color="auto"/>
              <w:left w:val="nil"/>
              <w:bottom w:val="single" w:sz="4" w:space="0" w:color="auto"/>
              <w:right w:val="single" w:sz="4" w:space="0" w:color="auto"/>
            </w:tcBorders>
            <w:shd w:val="clear" w:color="auto" w:fill="auto"/>
            <w:noWrap/>
          </w:tcPr>
          <w:p w14:paraId="2F110C38" w14:textId="18E9F7EC"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2022</w:t>
            </w:r>
            <w:r w:rsidRPr="0089403A">
              <w:rPr>
                <w:rFonts w:hint="eastAsia"/>
              </w:rPr>
              <w:t>年第一季度报告</w:t>
            </w:r>
          </w:p>
        </w:tc>
        <w:tc>
          <w:tcPr>
            <w:tcW w:w="1630" w:type="dxa"/>
            <w:tcBorders>
              <w:top w:val="single" w:sz="4" w:space="0" w:color="auto"/>
              <w:left w:val="nil"/>
              <w:bottom w:val="single" w:sz="4" w:space="0" w:color="auto"/>
              <w:right w:val="single" w:sz="4" w:space="0" w:color="auto"/>
            </w:tcBorders>
            <w:shd w:val="clear" w:color="auto" w:fill="auto"/>
            <w:noWrap/>
          </w:tcPr>
          <w:p w14:paraId="3C0E9709" w14:textId="559ADB8A" w:rsidR="00F57ABD" w:rsidRDefault="00F57ABD" w:rsidP="00F57ABD">
            <w:pPr>
              <w:widowControl/>
              <w:jc w:val="center"/>
            </w:pPr>
            <w:r w:rsidRPr="00141265">
              <w:t>2022-04-21</w:t>
            </w:r>
          </w:p>
        </w:tc>
      </w:tr>
      <w:tr w:rsidR="00F57ABD" w14:paraId="0A463C73"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1A3EF5F" w14:textId="3D5CFD56" w:rsidR="00F57ABD" w:rsidRPr="00F57ABD" w:rsidRDefault="00F57ABD" w:rsidP="00F57ABD">
            <w:pPr>
              <w:widowControl/>
              <w:jc w:val="center"/>
              <w:rPr>
                <w:rFonts w:ascii="宋体" w:hAnsi="宋体"/>
                <w:sz w:val="24"/>
              </w:rPr>
            </w:pPr>
            <w:r w:rsidRPr="00F57ABD">
              <w:rPr>
                <w:rFonts w:ascii="宋体" w:hAnsi="宋体" w:hint="eastAsia"/>
                <w:color w:val="000000"/>
                <w:sz w:val="24"/>
              </w:rPr>
              <w:t>153</w:t>
            </w:r>
          </w:p>
        </w:tc>
        <w:tc>
          <w:tcPr>
            <w:tcW w:w="7726" w:type="dxa"/>
            <w:tcBorders>
              <w:top w:val="single" w:sz="4" w:space="0" w:color="auto"/>
              <w:left w:val="nil"/>
              <w:bottom w:val="single" w:sz="4" w:space="0" w:color="auto"/>
              <w:right w:val="single" w:sz="4" w:space="0" w:color="auto"/>
            </w:tcBorders>
            <w:shd w:val="clear" w:color="auto" w:fill="auto"/>
            <w:noWrap/>
          </w:tcPr>
          <w:p w14:paraId="2922CE01" w14:textId="62D8C936"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2021</w:t>
            </w:r>
            <w:r w:rsidRPr="0089403A">
              <w:rPr>
                <w:rFonts w:hint="eastAsia"/>
              </w:rPr>
              <w:t>年年度报告</w:t>
            </w:r>
          </w:p>
        </w:tc>
        <w:tc>
          <w:tcPr>
            <w:tcW w:w="1630" w:type="dxa"/>
            <w:tcBorders>
              <w:top w:val="single" w:sz="4" w:space="0" w:color="auto"/>
              <w:left w:val="nil"/>
              <w:bottom w:val="single" w:sz="4" w:space="0" w:color="auto"/>
              <w:right w:val="single" w:sz="4" w:space="0" w:color="auto"/>
            </w:tcBorders>
            <w:shd w:val="clear" w:color="auto" w:fill="auto"/>
            <w:noWrap/>
          </w:tcPr>
          <w:p w14:paraId="3745C292" w14:textId="30E52EBA" w:rsidR="00F57ABD" w:rsidRDefault="00F57ABD" w:rsidP="00F57ABD">
            <w:pPr>
              <w:widowControl/>
              <w:jc w:val="center"/>
            </w:pPr>
            <w:r w:rsidRPr="00141265">
              <w:t>2022-03-30</w:t>
            </w:r>
          </w:p>
        </w:tc>
      </w:tr>
      <w:tr w:rsidR="00F57ABD" w14:paraId="72B32C18"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500F9A9" w14:textId="336FA64F" w:rsidR="00F57ABD" w:rsidRPr="00F57ABD" w:rsidRDefault="00F57ABD" w:rsidP="00F57ABD">
            <w:pPr>
              <w:widowControl/>
              <w:jc w:val="center"/>
              <w:rPr>
                <w:rFonts w:ascii="宋体" w:hAnsi="宋体"/>
                <w:sz w:val="24"/>
              </w:rPr>
            </w:pPr>
            <w:r w:rsidRPr="00F57ABD">
              <w:rPr>
                <w:rFonts w:ascii="宋体" w:hAnsi="宋体" w:hint="eastAsia"/>
                <w:color w:val="000000"/>
                <w:sz w:val="24"/>
              </w:rPr>
              <w:t>154</w:t>
            </w:r>
          </w:p>
        </w:tc>
        <w:tc>
          <w:tcPr>
            <w:tcW w:w="7726" w:type="dxa"/>
            <w:tcBorders>
              <w:top w:val="single" w:sz="4" w:space="0" w:color="auto"/>
              <w:left w:val="nil"/>
              <w:bottom w:val="single" w:sz="4" w:space="0" w:color="auto"/>
              <w:right w:val="single" w:sz="4" w:space="0" w:color="auto"/>
            </w:tcBorders>
            <w:shd w:val="clear" w:color="auto" w:fill="auto"/>
            <w:noWrap/>
          </w:tcPr>
          <w:p w14:paraId="11768ADC" w14:textId="31AC0A77"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2021</w:t>
            </w:r>
            <w:r w:rsidRPr="0089403A">
              <w:rPr>
                <w:rFonts w:hint="eastAsia"/>
              </w:rPr>
              <w:t>年第四季度报告</w:t>
            </w:r>
          </w:p>
        </w:tc>
        <w:tc>
          <w:tcPr>
            <w:tcW w:w="1630" w:type="dxa"/>
            <w:tcBorders>
              <w:top w:val="single" w:sz="4" w:space="0" w:color="auto"/>
              <w:left w:val="nil"/>
              <w:bottom w:val="single" w:sz="4" w:space="0" w:color="auto"/>
              <w:right w:val="single" w:sz="4" w:space="0" w:color="auto"/>
            </w:tcBorders>
            <w:shd w:val="clear" w:color="auto" w:fill="auto"/>
            <w:noWrap/>
          </w:tcPr>
          <w:p w14:paraId="0BB9D1D2" w14:textId="633E5721" w:rsidR="00F57ABD" w:rsidRDefault="00F57ABD" w:rsidP="00F57ABD">
            <w:pPr>
              <w:widowControl/>
              <w:jc w:val="center"/>
            </w:pPr>
            <w:r w:rsidRPr="00141265">
              <w:t>2022-01-24</w:t>
            </w:r>
          </w:p>
        </w:tc>
      </w:tr>
      <w:tr w:rsidR="00F57ABD" w14:paraId="5C1B6FEA"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EAF8782" w14:textId="5D4BE4E9" w:rsidR="00F57ABD" w:rsidRPr="00F57ABD" w:rsidRDefault="00F57ABD" w:rsidP="00F57ABD">
            <w:pPr>
              <w:widowControl/>
              <w:jc w:val="center"/>
              <w:rPr>
                <w:rFonts w:ascii="宋体" w:hAnsi="宋体"/>
                <w:sz w:val="24"/>
              </w:rPr>
            </w:pPr>
            <w:r w:rsidRPr="00F57ABD">
              <w:rPr>
                <w:rFonts w:ascii="宋体" w:hAnsi="宋体" w:hint="eastAsia"/>
                <w:color w:val="000000"/>
                <w:sz w:val="24"/>
              </w:rPr>
              <w:t>155</w:t>
            </w:r>
          </w:p>
        </w:tc>
        <w:tc>
          <w:tcPr>
            <w:tcW w:w="7726" w:type="dxa"/>
            <w:tcBorders>
              <w:top w:val="single" w:sz="4" w:space="0" w:color="auto"/>
              <w:left w:val="nil"/>
              <w:bottom w:val="single" w:sz="4" w:space="0" w:color="auto"/>
              <w:right w:val="single" w:sz="4" w:space="0" w:color="auto"/>
            </w:tcBorders>
            <w:shd w:val="clear" w:color="auto" w:fill="auto"/>
            <w:noWrap/>
          </w:tcPr>
          <w:p w14:paraId="0EEE6A8F" w14:textId="301A35A6"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2021</w:t>
            </w:r>
            <w:r w:rsidRPr="0089403A">
              <w:rPr>
                <w:rFonts w:hint="eastAsia"/>
              </w:rPr>
              <w:t>年第三季度报告</w:t>
            </w:r>
          </w:p>
        </w:tc>
        <w:tc>
          <w:tcPr>
            <w:tcW w:w="1630" w:type="dxa"/>
            <w:tcBorders>
              <w:top w:val="single" w:sz="4" w:space="0" w:color="auto"/>
              <w:left w:val="nil"/>
              <w:bottom w:val="single" w:sz="4" w:space="0" w:color="auto"/>
              <w:right w:val="single" w:sz="4" w:space="0" w:color="auto"/>
            </w:tcBorders>
            <w:shd w:val="clear" w:color="auto" w:fill="auto"/>
            <w:noWrap/>
          </w:tcPr>
          <w:p w14:paraId="6B7AABBD" w14:textId="69A18AB7" w:rsidR="00F57ABD" w:rsidRDefault="00F57ABD" w:rsidP="00F57ABD">
            <w:pPr>
              <w:widowControl/>
              <w:jc w:val="center"/>
            </w:pPr>
            <w:r w:rsidRPr="00141265">
              <w:t>2021-10-25</w:t>
            </w:r>
          </w:p>
        </w:tc>
      </w:tr>
      <w:tr w:rsidR="00F57ABD" w14:paraId="16A29FCF"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3A14065" w14:textId="4399B209" w:rsidR="00F57ABD" w:rsidRPr="00F57ABD" w:rsidRDefault="00F57ABD" w:rsidP="00F57ABD">
            <w:pPr>
              <w:widowControl/>
              <w:jc w:val="center"/>
              <w:rPr>
                <w:rFonts w:ascii="宋体" w:hAnsi="宋体"/>
                <w:sz w:val="24"/>
              </w:rPr>
            </w:pPr>
            <w:r w:rsidRPr="00F57ABD">
              <w:rPr>
                <w:rFonts w:ascii="宋体" w:hAnsi="宋体" w:hint="eastAsia"/>
                <w:color w:val="000000"/>
                <w:sz w:val="24"/>
              </w:rPr>
              <w:t>156</w:t>
            </w:r>
          </w:p>
        </w:tc>
        <w:tc>
          <w:tcPr>
            <w:tcW w:w="7726" w:type="dxa"/>
            <w:tcBorders>
              <w:top w:val="single" w:sz="4" w:space="0" w:color="auto"/>
              <w:left w:val="nil"/>
              <w:bottom w:val="single" w:sz="4" w:space="0" w:color="auto"/>
              <w:right w:val="single" w:sz="4" w:space="0" w:color="auto"/>
            </w:tcBorders>
            <w:shd w:val="clear" w:color="auto" w:fill="auto"/>
            <w:noWrap/>
          </w:tcPr>
          <w:p w14:paraId="7C303B1A" w14:textId="7888E08B"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2021</w:t>
            </w:r>
            <w:r w:rsidRPr="0089403A">
              <w:rPr>
                <w:rFonts w:hint="eastAsia"/>
              </w:rPr>
              <w:t>年中期报告</w:t>
            </w:r>
          </w:p>
        </w:tc>
        <w:tc>
          <w:tcPr>
            <w:tcW w:w="1630" w:type="dxa"/>
            <w:tcBorders>
              <w:top w:val="single" w:sz="4" w:space="0" w:color="auto"/>
              <w:left w:val="nil"/>
              <w:bottom w:val="single" w:sz="4" w:space="0" w:color="auto"/>
              <w:right w:val="single" w:sz="4" w:space="0" w:color="auto"/>
            </w:tcBorders>
            <w:shd w:val="clear" w:color="auto" w:fill="auto"/>
            <w:noWrap/>
          </w:tcPr>
          <w:p w14:paraId="61586189" w14:textId="755386BD" w:rsidR="00F57ABD" w:rsidRDefault="00F57ABD" w:rsidP="00F57ABD">
            <w:pPr>
              <w:widowControl/>
              <w:jc w:val="center"/>
            </w:pPr>
            <w:r w:rsidRPr="00141265">
              <w:t>2021-08-26</w:t>
            </w:r>
          </w:p>
        </w:tc>
      </w:tr>
      <w:tr w:rsidR="00F57ABD" w14:paraId="3478E5E8"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7D99645" w14:textId="7A4FD29E" w:rsidR="00F57ABD" w:rsidRPr="00F57ABD" w:rsidRDefault="00F57ABD" w:rsidP="00F57ABD">
            <w:pPr>
              <w:widowControl/>
              <w:jc w:val="center"/>
              <w:rPr>
                <w:rFonts w:ascii="宋体" w:hAnsi="宋体"/>
                <w:sz w:val="24"/>
              </w:rPr>
            </w:pPr>
            <w:r w:rsidRPr="00F57ABD">
              <w:rPr>
                <w:rFonts w:ascii="宋体" w:hAnsi="宋体" w:hint="eastAsia"/>
                <w:color w:val="000000"/>
                <w:sz w:val="24"/>
              </w:rPr>
              <w:t>157</w:t>
            </w:r>
          </w:p>
        </w:tc>
        <w:tc>
          <w:tcPr>
            <w:tcW w:w="7726" w:type="dxa"/>
            <w:tcBorders>
              <w:top w:val="single" w:sz="4" w:space="0" w:color="auto"/>
              <w:left w:val="nil"/>
              <w:bottom w:val="single" w:sz="4" w:space="0" w:color="auto"/>
              <w:right w:val="single" w:sz="4" w:space="0" w:color="auto"/>
            </w:tcBorders>
            <w:shd w:val="clear" w:color="auto" w:fill="auto"/>
            <w:noWrap/>
          </w:tcPr>
          <w:p w14:paraId="7166DF9B" w14:textId="361B1A06"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2021</w:t>
            </w:r>
            <w:r w:rsidRPr="0089403A">
              <w:rPr>
                <w:rFonts w:hint="eastAsia"/>
              </w:rPr>
              <w:t>年第二季度报告</w:t>
            </w:r>
          </w:p>
        </w:tc>
        <w:tc>
          <w:tcPr>
            <w:tcW w:w="1630" w:type="dxa"/>
            <w:tcBorders>
              <w:top w:val="single" w:sz="4" w:space="0" w:color="auto"/>
              <w:left w:val="nil"/>
              <w:bottom w:val="single" w:sz="4" w:space="0" w:color="auto"/>
              <w:right w:val="single" w:sz="4" w:space="0" w:color="auto"/>
            </w:tcBorders>
            <w:shd w:val="clear" w:color="auto" w:fill="auto"/>
            <w:noWrap/>
          </w:tcPr>
          <w:p w14:paraId="129D37F8" w14:textId="2064EEF5" w:rsidR="00F57ABD" w:rsidRDefault="00F57ABD" w:rsidP="00F57ABD">
            <w:pPr>
              <w:widowControl/>
              <w:jc w:val="center"/>
            </w:pPr>
            <w:r w:rsidRPr="00141265">
              <w:t>2021-07-21</w:t>
            </w:r>
          </w:p>
        </w:tc>
      </w:tr>
      <w:tr w:rsidR="00F57ABD" w14:paraId="3D359B93"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D18D3B1" w14:textId="634FDEF3" w:rsidR="00F57ABD" w:rsidRPr="00F57ABD" w:rsidRDefault="00F57ABD" w:rsidP="00F57ABD">
            <w:pPr>
              <w:widowControl/>
              <w:jc w:val="center"/>
              <w:rPr>
                <w:rFonts w:ascii="宋体" w:hAnsi="宋体"/>
                <w:sz w:val="24"/>
              </w:rPr>
            </w:pPr>
            <w:r w:rsidRPr="00F57ABD">
              <w:rPr>
                <w:rFonts w:ascii="宋体" w:hAnsi="宋体" w:hint="eastAsia"/>
                <w:color w:val="000000"/>
                <w:sz w:val="24"/>
              </w:rPr>
              <w:t>158</w:t>
            </w:r>
          </w:p>
        </w:tc>
        <w:tc>
          <w:tcPr>
            <w:tcW w:w="7726" w:type="dxa"/>
            <w:tcBorders>
              <w:top w:val="single" w:sz="4" w:space="0" w:color="auto"/>
              <w:left w:val="nil"/>
              <w:bottom w:val="single" w:sz="4" w:space="0" w:color="auto"/>
              <w:right w:val="single" w:sz="4" w:space="0" w:color="auto"/>
            </w:tcBorders>
            <w:shd w:val="clear" w:color="auto" w:fill="auto"/>
            <w:noWrap/>
          </w:tcPr>
          <w:p w14:paraId="5C7E020B" w14:textId="48C236D0"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2021</w:t>
            </w:r>
            <w:r w:rsidRPr="0089403A">
              <w:rPr>
                <w:rFonts w:hint="eastAsia"/>
              </w:rPr>
              <w:t>年第一季度报告</w:t>
            </w:r>
          </w:p>
        </w:tc>
        <w:tc>
          <w:tcPr>
            <w:tcW w:w="1630" w:type="dxa"/>
            <w:tcBorders>
              <w:top w:val="single" w:sz="4" w:space="0" w:color="auto"/>
              <w:left w:val="nil"/>
              <w:bottom w:val="single" w:sz="4" w:space="0" w:color="auto"/>
              <w:right w:val="single" w:sz="4" w:space="0" w:color="auto"/>
            </w:tcBorders>
            <w:shd w:val="clear" w:color="auto" w:fill="auto"/>
            <w:noWrap/>
          </w:tcPr>
          <w:p w14:paraId="69214A8B" w14:textId="5B2FEEDD" w:rsidR="00F57ABD" w:rsidRDefault="00F57ABD" w:rsidP="00F57ABD">
            <w:pPr>
              <w:widowControl/>
              <w:jc w:val="center"/>
            </w:pPr>
            <w:r w:rsidRPr="00141265">
              <w:t>2021-04-21</w:t>
            </w:r>
          </w:p>
        </w:tc>
      </w:tr>
      <w:tr w:rsidR="00F57ABD" w14:paraId="4E1FF068"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C9E3184" w14:textId="0A28EB52" w:rsidR="00F57ABD" w:rsidRPr="00F57ABD" w:rsidRDefault="00F57ABD" w:rsidP="00F57ABD">
            <w:pPr>
              <w:widowControl/>
              <w:jc w:val="center"/>
              <w:rPr>
                <w:rFonts w:ascii="宋体" w:hAnsi="宋体"/>
                <w:sz w:val="24"/>
              </w:rPr>
            </w:pPr>
            <w:r w:rsidRPr="00F57ABD">
              <w:rPr>
                <w:rFonts w:ascii="宋体" w:hAnsi="宋体" w:hint="eastAsia"/>
                <w:color w:val="000000"/>
                <w:sz w:val="24"/>
              </w:rPr>
              <w:lastRenderedPageBreak/>
              <w:t>159</w:t>
            </w:r>
          </w:p>
        </w:tc>
        <w:tc>
          <w:tcPr>
            <w:tcW w:w="7726" w:type="dxa"/>
            <w:tcBorders>
              <w:top w:val="single" w:sz="4" w:space="0" w:color="auto"/>
              <w:left w:val="nil"/>
              <w:bottom w:val="single" w:sz="4" w:space="0" w:color="auto"/>
              <w:right w:val="single" w:sz="4" w:space="0" w:color="auto"/>
            </w:tcBorders>
            <w:shd w:val="clear" w:color="auto" w:fill="auto"/>
            <w:noWrap/>
          </w:tcPr>
          <w:p w14:paraId="6BDE69FF" w14:textId="5DBDB336"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2020</w:t>
            </w:r>
            <w:r w:rsidRPr="0089403A">
              <w:rPr>
                <w:rFonts w:hint="eastAsia"/>
              </w:rPr>
              <w:t>年年度报告</w:t>
            </w:r>
          </w:p>
        </w:tc>
        <w:tc>
          <w:tcPr>
            <w:tcW w:w="1630" w:type="dxa"/>
            <w:tcBorders>
              <w:top w:val="single" w:sz="4" w:space="0" w:color="auto"/>
              <w:left w:val="nil"/>
              <w:bottom w:val="single" w:sz="4" w:space="0" w:color="auto"/>
              <w:right w:val="single" w:sz="4" w:space="0" w:color="auto"/>
            </w:tcBorders>
            <w:shd w:val="clear" w:color="auto" w:fill="auto"/>
            <w:noWrap/>
          </w:tcPr>
          <w:p w14:paraId="4E953BB2" w14:textId="58EB8786" w:rsidR="00F57ABD" w:rsidRDefault="00F57ABD" w:rsidP="00F57ABD">
            <w:pPr>
              <w:widowControl/>
              <w:jc w:val="center"/>
            </w:pPr>
            <w:r w:rsidRPr="00141265">
              <w:t>2021-03-30</w:t>
            </w:r>
          </w:p>
        </w:tc>
      </w:tr>
      <w:tr w:rsidR="00F57ABD" w14:paraId="0A196EED"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A56B054" w14:textId="5ED85080" w:rsidR="00F57ABD" w:rsidRPr="00F57ABD" w:rsidRDefault="00F57ABD" w:rsidP="00F57ABD">
            <w:pPr>
              <w:widowControl/>
              <w:jc w:val="center"/>
              <w:rPr>
                <w:rFonts w:ascii="宋体" w:hAnsi="宋体"/>
                <w:sz w:val="24"/>
              </w:rPr>
            </w:pPr>
            <w:r w:rsidRPr="00F57ABD">
              <w:rPr>
                <w:rFonts w:ascii="宋体" w:hAnsi="宋体" w:hint="eastAsia"/>
                <w:color w:val="000000"/>
                <w:sz w:val="24"/>
              </w:rPr>
              <w:t>160</w:t>
            </w:r>
          </w:p>
        </w:tc>
        <w:tc>
          <w:tcPr>
            <w:tcW w:w="7726" w:type="dxa"/>
            <w:tcBorders>
              <w:top w:val="single" w:sz="4" w:space="0" w:color="auto"/>
              <w:left w:val="nil"/>
              <w:bottom w:val="single" w:sz="4" w:space="0" w:color="auto"/>
              <w:right w:val="single" w:sz="4" w:space="0" w:color="auto"/>
            </w:tcBorders>
            <w:shd w:val="clear" w:color="auto" w:fill="auto"/>
            <w:noWrap/>
          </w:tcPr>
          <w:p w14:paraId="2AB76B98" w14:textId="5190FCCD"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2020</w:t>
            </w:r>
            <w:r w:rsidRPr="0089403A">
              <w:rPr>
                <w:rFonts w:hint="eastAsia"/>
              </w:rPr>
              <w:t>年第四季度报告</w:t>
            </w:r>
          </w:p>
        </w:tc>
        <w:tc>
          <w:tcPr>
            <w:tcW w:w="1630" w:type="dxa"/>
            <w:tcBorders>
              <w:top w:val="single" w:sz="4" w:space="0" w:color="auto"/>
              <w:left w:val="nil"/>
              <w:bottom w:val="single" w:sz="4" w:space="0" w:color="auto"/>
              <w:right w:val="single" w:sz="4" w:space="0" w:color="auto"/>
            </w:tcBorders>
            <w:shd w:val="clear" w:color="auto" w:fill="auto"/>
            <w:noWrap/>
          </w:tcPr>
          <w:p w14:paraId="59A78155" w14:textId="5EBB0774" w:rsidR="00F57ABD" w:rsidRDefault="00F57ABD" w:rsidP="00F57ABD">
            <w:pPr>
              <w:widowControl/>
              <w:jc w:val="center"/>
            </w:pPr>
            <w:r w:rsidRPr="00141265">
              <w:t>2021-01-22</w:t>
            </w:r>
          </w:p>
        </w:tc>
      </w:tr>
      <w:tr w:rsidR="00F57ABD" w14:paraId="18D1386C"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774F84E" w14:textId="2B9522AE" w:rsidR="00F57ABD" w:rsidRPr="00F57ABD" w:rsidRDefault="00F57ABD" w:rsidP="00F57ABD">
            <w:pPr>
              <w:widowControl/>
              <w:jc w:val="center"/>
              <w:rPr>
                <w:rFonts w:ascii="宋体" w:hAnsi="宋体"/>
                <w:sz w:val="24"/>
              </w:rPr>
            </w:pPr>
            <w:r w:rsidRPr="00F57ABD">
              <w:rPr>
                <w:rFonts w:ascii="宋体" w:hAnsi="宋体" w:hint="eastAsia"/>
                <w:color w:val="000000"/>
                <w:sz w:val="24"/>
              </w:rPr>
              <w:t>161</w:t>
            </w:r>
          </w:p>
        </w:tc>
        <w:tc>
          <w:tcPr>
            <w:tcW w:w="7726" w:type="dxa"/>
            <w:tcBorders>
              <w:top w:val="single" w:sz="4" w:space="0" w:color="auto"/>
              <w:left w:val="nil"/>
              <w:bottom w:val="single" w:sz="4" w:space="0" w:color="auto"/>
              <w:right w:val="single" w:sz="4" w:space="0" w:color="auto"/>
            </w:tcBorders>
            <w:shd w:val="clear" w:color="auto" w:fill="auto"/>
            <w:noWrap/>
          </w:tcPr>
          <w:p w14:paraId="2D667C56" w14:textId="423F2AAD"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2020</w:t>
            </w:r>
            <w:r w:rsidRPr="0089403A">
              <w:rPr>
                <w:rFonts w:hint="eastAsia"/>
              </w:rPr>
              <w:t>年第三季度报告</w:t>
            </w:r>
          </w:p>
        </w:tc>
        <w:tc>
          <w:tcPr>
            <w:tcW w:w="1630" w:type="dxa"/>
            <w:tcBorders>
              <w:top w:val="single" w:sz="4" w:space="0" w:color="auto"/>
              <w:left w:val="nil"/>
              <w:bottom w:val="single" w:sz="4" w:space="0" w:color="auto"/>
              <w:right w:val="single" w:sz="4" w:space="0" w:color="auto"/>
            </w:tcBorders>
            <w:shd w:val="clear" w:color="auto" w:fill="auto"/>
            <w:noWrap/>
          </w:tcPr>
          <w:p w14:paraId="4FBCCB54" w14:textId="4819DCEF" w:rsidR="00F57ABD" w:rsidRDefault="00F57ABD" w:rsidP="00F57ABD">
            <w:pPr>
              <w:widowControl/>
              <w:jc w:val="center"/>
            </w:pPr>
            <w:r w:rsidRPr="00141265">
              <w:t>2020-10-28</w:t>
            </w:r>
          </w:p>
        </w:tc>
      </w:tr>
      <w:tr w:rsidR="00F57ABD" w14:paraId="500F60B7"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D6E5815" w14:textId="1360416F" w:rsidR="00F57ABD" w:rsidRPr="00F57ABD" w:rsidRDefault="00F57ABD" w:rsidP="00F57ABD">
            <w:pPr>
              <w:widowControl/>
              <w:jc w:val="center"/>
              <w:rPr>
                <w:rFonts w:ascii="宋体" w:hAnsi="宋体"/>
                <w:sz w:val="24"/>
              </w:rPr>
            </w:pPr>
            <w:r w:rsidRPr="00F57ABD">
              <w:rPr>
                <w:rFonts w:ascii="宋体" w:hAnsi="宋体" w:hint="eastAsia"/>
                <w:color w:val="000000"/>
                <w:sz w:val="24"/>
              </w:rPr>
              <w:t>162</w:t>
            </w:r>
          </w:p>
        </w:tc>
        <w:tc>
          <w:tcPr>
            <w:tcW w:w="7726" w:type="dxa"/>
            <w:tcBorders>
              <w:top w:val="single" w:sz="4" w:space="0" w:color="auto"/>
              <w:left w:val="nil"/>
              <w:bottom w:val="single" w:sz="4" w:space="0" w:color="auto"/>
              <w:right w:val="single" w:sz="4" w:space="0" w:color="auto"/>
            </w:tcBorders>
            <w:shd w:val="clear" w:color="auto" w:fill="auto"/>
            <w:noWrap/>
          </w:tcPr>
          <w:p w14:paraId="7D35F717" w14:textId="0C54FF66"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2020</w:t>
            </w:r>
            <w:r w:rsidRPr="0089403A">
              <w:rPr>
                <w:rFonts w:hint="eastAsia"/>
              </w:rPr>
              <w:t>年中期报告</w:t>
            </w:r>
          </w:p>
        </w:tc>
        <w:tc>
          <w:tcPr>
            <w:tcW w:w="1630" w:type="dxa"/>
            <w:tcBorders>
              <w:top w:val="single" w:sz="4" w:space="0" w:color="auto"/>
              <w:left w:val="nil"/>
              <w:bottom w:val="single" w:sz="4" w:space="0" w:color="auto"/>
              <w:right w:val="single" w:sz="4" w:space="0" w:color="auto"/>
            </w:tcBorders>
            <w:shd w:val="clear" w:color="auto" w:fill="auto"/>
            <w:noWrap/>
          </w:tcPr>
          <w:p w14:paraId="1A5528EA" w14:textId="233D96F7" w:rsidR="00F57ABD" w:rsidRDefault="00F57ABD" w:rsidP="00F57ABD">
            <w:pPr>
              <w:widowControl/>
              <w:jc w:val="center"/>
            </w:pPr>
            <w:r w:rsidRPr="00141265">
              <w:t>2020-08-22</w:t>
            </w:r>
          </w:p>
        </w:tc>
      </w:tr>
      <w:tr w:rsidR="00F57ABD" w14:paraId="0FBDA96F"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8FE1FCC" w14:textId="6EBAF917" w:rsidR="00F57ABD" w:rsidRPr="00F57ABD" w:rsidRDefault="00F57ABD" w:rsidP="00F57ABD">
            <w:pPr>
              <w:widowControl/>
              <w:jc w:val="center"/>
              <w:rPr>
                <w:rFonts w:ascii="宋体" w:hAnsi="宋体"/>
                <w:sz w:val="24"/>
              </w:rPr>
            </w:pPr>
            <w:r w:rsidRPr="00F57ABD">
              <w:rPr>
                <w:rFonts w:ascii="宋体" w:hAnsi="宋体" w:hint="eastAsia"/>
                <w:color w:val="000000"/>
                <w:sz w:val="24"/>
              </w:rPr>
              <w:t>163</w:t>
            </w:r>
          </w:p>
        </w:tc>
        <w:tc>
          <w:tcPr>
            <w:tcW w:w="7726" w:type="dxa"/>
            <w:tcBorders>
              <w:top w:val="single" w:sz="4" w:space="0" w:color="auto"/>
              <w:left w:val="nil"/>
              <w:bottom w:val="single" w:sz="4" w:space="0" w:color="auto"/>
              <w:right w:val="single" w:sz="4" w:space="0" w:color="auto"/>
            </w:tcBorders>
            <w:shd w:val="clear" w:color="auto" w:fill="auto"/>
            <w:noWrap/>
          </w:tcPr>
          <w:p w14:paraId="4816D4B6" w14:textId="33D6A9A6"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2020</w:t>
            </w:r>
            <w:r w:rsidRPr="0089403A">
              <w:rPr>
                <w:rFonts w:hint="eastAsia"/>
              </w:rPr>
              <w:t>年第二季度报告</w:t>
            </w:r>
          </w:p>
        </w:tc>
        <w:tc>
          <w:tcPr>
            <w:tcW w:w="1630" w:type="dxa"/>
            <w:tcBorders>
              <w:top w:val="single" w:sz="4" w:space="0" w:color="auto"/>
              <w:left w:val="nil"/>
              <w:bottom w:val="single" w:sz="4" w:space="0" w:color="auto"/>
              <w:right w:val="single" w:sz="4" w:space="0" w:color="auto"/>
            </w:tcBorders>
            <w:shd w:val="clear" w:color="auto" w:fill="auto"/>
            <w:noWrap/>
          </w:tcPr>
          <w:p w14:paraId="2EEB30D8" w14:textId="0CD548EA" w:rsidR="00F57ABD" w:rsidRDefault="00F57ABD" w:rsidP="00F57ABD">
            <w:pPr>
              <w:widowControl/>
              <w:jc w:val="center"/>
            </w:pPr>
            <w:r w:rsidRPr="00141265">
              <w:t>2020-07-15</w:t>
            </w:r>
          </w:p>
        </w:tc>
      </w:tr>
      <w:tr w:rsidR="00F57ABD" w14:paraId="45AF1EBB"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A19CE6E" w14:textId="15F2E949" w:rsidR="00F57ABD" w:rsidRPr="00F57ABD" w:rsidRDefault="00F57ABD" w:rsidP="00F57ABD">
            <w:pPr>
              <w:widowControl/>
              <w:jc w:val="center"/>
              <w:rPr>
                <w:rFonts w:ascii="宋体" w:hAnsi="宋体"/>
                <w:sz w:val="24"/>
              </w:rPr>
            </w:pPr>
            <w:r w:rsidRPr="00F57ABD">
              <w:rPr>
                <w:rFonts w:ascii="宋体" w:hAnsi="宋体" w:hint="eastAsia"/>
                <w:color w:val="000000"/>
                <w:sz w:val="24"/>
              </w:rPr>
              <w:t>164</w:t>
            </w:r>
          </w:p>
        </w:tc>
        <w:tc>
          <w:tcPr>
            <w:tcW w:w="7726" w:type="dxa"/>
            <w:tcBorders>
              <w:top w:val="single" w:sz="4" w:space="0" w:color="auto"/>
              <w:left w:val="nil"/>
              <w:bottom w:val="single" w:sz="4" w:space="0" w:color="auto"/>
              <w:right w:val="single" w:sz="4" w:space="0" w:color="auto"/>
            </w:tcBorders>
            <w:shd w:val="clear" w:color="auto" w:fill="auto"/>
            <w:noWrap/>
          </w:tcPr>
          <w:p w14:paraId="4B113A43" w14:textId="4D37049E"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2020</w:t>
            </w:r>
            <w:r w:rsidRPr="0089403A">
              <w:rPr>
                <w:rFonts w:hint="eastAsia"/>
              </w:rPr>
              <w:t>年第一季度报告</w:t>
            </w:r>
          </w:p>
        </w:tc>
        <w:tc>
          <w:tcPr>
            <w:tcW w:w="1630" w:type="dxa"/>
            <w:tcBorders>
              <w:top w:val="single" w:sz="4" w:space="0" w:color="auto"/>
              <w:left w:val="nil"/>
              <w:bottom w:val="single" w:sz="4" w:space="0" w:color="auto"/>
              <w:right w:val="single" w:sz="4" w:space="0" w:color="auto"/>
            </w:tcBorders>
            <w:shd w:val="clear" w:color="auto" w:fill="auto"/>
            <w:noWrap/>
          </w:tcPr>
          <w:p w14:paraId="6EF4F02F" w14:textId="6D5B01E9" w:rsidR="00F57ABD" w:rsidRDefault="00F57ABD" w:rsidP="00F57ABD">
            <w:pPr>
              <w:widowControl/>
              <w:jc w:val="center"/>
            </w:pPr>
            <w:r w:rsidRPr="00141265">
              <w:t>2020-04-22</w:t>
            </w:r>
          </w:p>
        </w:tc>
      </w:tr>
      <w:tr w:rsidR="00F57ABD" w14:paraId="62D55D7B"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A3AB5E3" w14:textId="5D8B3260" w:rsidR="00F57ABD" w:rsidRPr="00F57ABD" w:rsidRDefault="00F57ABD" w:rsidP="00F57ABD">
            <w:pPr>
              <w:widowControl/>
              <w:jc w:val="center"/>
              <w:rPr>
                <w:rFonts w:ascii="宋体" w:hAnsi="宋体"/>
                <w:sz w:val="24"/>
              </w:rPr>
            </w:pPr>
            <w:r w:rsidRPr="00F57ABD">
              <w:rPr>
                <w:rFonts w:ascii="宋体" w:hAnsi="宋体" w:hint="eastAsia"/>
                <w:color w:val="000000"/>
                <w:sz w:val="24"/>
              </w:rPr>
              <w:t>165</w:t>
            </w:r>
          </w:p>
        </w:tc>
        <w:tc>
          <w:tcPr>
            <w:tcW w:w="7726" w:type="dxa"/>
            <w:tcBorders>
              <w:top w:val="single" w:sz="4" w:space="0" w:color="auto"/>
              <w:left w:val="nil"/>
              <w:bottom w:val="single" w:sz="4" w:space="0" w:color="auto"/>
              <w:right w:val="single" w:sz="4" w:space="0" w:color="auto"/>
            </w:tcBorders>
            <w:shd w:val="clear" w:color="auto" w:fill="auto"/>
            <w:noWrap/>
          </w:tcPr>
          <w:p w14:paraId="6960AA04" w14:textId="52B90DE5"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2019</w:t>
            </w:r>
            <w:r w:rsidRPr="0089403A">
              <w:rPr>
                <w:rFonts w:hint="eastAsia"/>
              </w:rPr>
              <w:t>年年度报告</w:t>
            </w:r>
          </w:p>
        </w:tc>
        <w:tc>
          <w:tcPr>
            <w:tcW w:w="1630" w:type="dxa"/>
            <w:tcBorders>
              <w:top w:val="single" w:sz="4" w:space="0" w:color="auto"/>
              <w:left w:val="nil"/>
              <w:bottom w:val="single" w:sz="4" w:space="0" w:color="auto"/>
              <w:right w:val="single" w:sz="4" w:space="0" w:color="auto"/>
            </w:tcBorders>
            <w:shd w:val="clear" w:color="auto" w:fill="auto"/>
            <w:noWrap/>
          </w:tcPr>
          <w:p w14:paraId="3C675284" w14:textId="57653DBB" w:rsidR="00F57ABD" w:rsidRDefault="00F57ABD" w:rsidP="00F57ABD">
            <w:pPr>
              <w:widowControl/>
              <w:jc w:val="center"/>
            </w:pPr>
            <w:r w:rsidRPr="00141265">
              <w:t>2020-03-26</w:t>
            </w:r>
          </w:p>
        </w:tc>
      </w:tr>
      <w:tr w:rsidR="00F57ABD" w14:paraId="23CF4CF4"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E70151F" w14:textId="401881D7" w:rsidR="00F57ABD" w:rsidRPr="00F57ABD" w:rsidRDefault="00F57ABD" w:rsidP="00F57ABD">
            <w:pPr>
              <w:widowControl/>
              <w:jc w:val="center"/>
              <w:rPr>
                <w:rFonts w:ascii="宋体" w:hAnsi="宋体"/>
                <w:sz w:val="24"/>
              </w:rPr>
            </w:pPr>
            <w:r w:rsidRPr="00F57ABD">
              <w:rPr>
                <w:rFonts w:ascii="宋体" w:hAnsi="宋体" w:hint="eastAsia"/>
                <w:color w:val="000000"/>
                <w:sz w:val="24"/>
              </w:rPr>
              <w:t>166</w:t>
            </w:r>
          </w:p>
        </w:tc>
        <w:tc>
          <w:tcPr>
            <w:tcW w:w="7726" w:type="dxa"/>
            <w:tcBorders>
              <w:top w:val="single" w:sz="4" w:space="0" w:color="auto"/>
              <w:left w:val="nil"/>
              <w:bottom w:val="single" w:sz="4" w:space="0" w:color="auto"/>
              <w:right w:val="single" w:sz="4" w:space="0" w:color="auto"/>
            </w:tcBorders>
            <w:shd w:val="clear" w:color="auto" w:fill="auto"/>
            <w:noWrap/>
          </w:tcPr>
          <w:p w14:paraId="1CE70D25" w14:textId="2056E4A2"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2019</w:t>
            </w:r>
            <w:r w:rsidRPr="0089403A">
              <w:rPr>
                <w:rFonts w:hint="eastAsia"/>
              </w:rPr>
              <w:t>年第四季度报告</w:t>
            </w:r>
          </w:p>
        </w:tc>
        <w:tc>
          <w:tcPr>
            <w:tcW w:w="1630" w:type="dxa"/>
            <w:tcBorders>
              <w:top w:val="single" w:sz="4" w:space="0" w:color="auto"/>
              <w:left w:val="nil"/>
              <w:bottom w:val="single" w:sz="4" w:space="0" w:color="auto"/>
              <w:right w:val="single" w:sz="4" w:space="0" w:color="auto"/>
            </w:tcBorders>
            <w:shd w:val="clear" w:color="auto" w:fill="auto"/>
            <w:noWrap/>
          </w:tcPr>
          <w:p w14:paraId="66F017D6" w14:textId="61FE12F6" w:rsidR="00F57ABD" w:rsidRDefault="00F57ABD" w:rsidP="00F57ABD">
            <w:pPr>
              <w:widowControl/>
              <w:jc w:val="center"/>
            </w:pPr>
            <w:r w:rsidRPr="00141265">
              <w:t>2020-01-18</w:t>
            </w:r>
          </w:p>
        </w:tc>
      </w:tr>
      <w:tr w:rsidR="00F57ABD" w14:paraId="0A7A63B6" w14:textId="77777777" w:rsidTr="00F94CAE">
        <w:trPr>
          <w:trHeight w:val="320"/>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2C7E8CE" w14:textId="0739DD57" w:rsidR="00F57ABD" w:rsidRPr="00F57ABD" w:rsidRDefault="00F57ABD" w:rsidP="00F57ABD">
            <w:pPr>
              <w:widowControl/>
              <w:jc w:val="center"/>
              <w:rPr>
                <w:rFonts w:ascii="宋体" w:hAnsi="宋体"/>
                <w:sz w:val="24"/>
              </w:rPr>
            </w:pPr>
            <w:r w:rsidRPr="00F57ABD">
              <w:rPr>
                <w:rFonts w:ascii="宋体" w:hAnsi="宋体" w:hint="eastAsia"/>
                <w:color w:val="000000"/>
                <w:sz w:val="24"/>
              </w:rPr>
              <w:t>167</w:t>
            </w:r>
          </w:p>
        </w:tc>
        <w:tc>
          <w:tcPr>
            <w:tcW w:w="7726" w:type="dxa"/>
            <w:tcBorders>
              <w:top w:val="single" w:sz="4" w:space="0" w:color="auto"/>
              <w:left w:val="nil"/>
              <w:bottom w:val="single" w:sz="4" w:space="0" w:color="auto"/>
              <w:right w:val="single" w:sz="4" w:space="0" w:color="auto"/>
            </w:tcBorders>
            <w:shd w:val="clear" w:color="auto" w:fill="auto"/>
            <w:noWrap/>
          </w:tcPr>
          <w:p w14:paraId="2A3B2192" w14:textId="408DD78B" w:rsidR="00F57ABD" w:rsidRDefault="00F57ABD" w:rsidP="00F57ABD">
            <w:pPr>
              <w:widowControl/>
              <w:jc w:val="left"/>
            </w:pPr>
            <w:r w:rsidRPr="0089403A">
              <w:rPr>
                <w:rFonts w:hint="eastAsia"/>
              </w:rPr>
              <w:t>朱雀产业</w:t>
            </w:r>
            <w:proofErr w:type="gramStart"/>
            <w:r w:rsidRPr="0089403A">
              <w:rPr>
                <w:rFonts w:hint="eastAsia"/>
              </w:rPr>
              <w:t>臻</w:t>
            </w:r>
            <w:proofErr w:type="gramEnd"/>
            <w:r w:rsidRPr="0089403A">
              <w:rPr>
                <w:rFonts w:hint="eastAsia"/>
              </w:rPr>
              <w:t>选混合型证券投资基金</w:t>
            </w:r>
            <w:r w:rsidRPr="0089403A">
              <w:rPr>
                <w:rFonts w:hint="eastAsia"/>
              </w:rPr>
              <w:t>2019</w:t>
            </w:r>
            <w:r w:rsidRPr="0089403A">
              <w:rPr>
                <w:rFonts w:hint="eastAsia"/>
              </w:rPr>
              <w:t>年第三季度报告</w:t>
            </w:r>
          </w:p>
        </w:tc>
        <w:tc>
          <w:tcPr>
            <w:tcW w:w="1630" w:type="dxa"/>
            <w:tcBorders>
              <w:top w:val="single" w:sz="4" w:space="0" w:color="auto"/>
              <w:left w:val="nil"/>
              <w:bottom w:val="single" w:sz="4" w:space="0" w:color="auto"/>
              <w:right w:val="single" w:sz="4" w:space="0" w:color="auto"/>
            </w:tcBorders>
            <w:shd w:val="clear" w:color="auto" w:fill="auto"/>
            <w:noWrap/>
          </w:tcPr>
          <w:p w14:paraId="3983A5BF" w14:textId="6B2A5403" w:rsidR="00F57ABD" w:rsidRDefault="00F57ABD" w:rsidP="00F57ABD">
            <w:pPr>
              <w:widowControl/>
              <w:jc w:val="center"/>
            </w:pPr>
            <w:r w:rsidRPr="00141265">
              <w:t>2019-10-24</w:t>
            </w:r>
          </w:p>
        </w:tc>
      </w:tr>
    </w:tbl>
    <w:p w14:paraId="6C9AAA0B" w14:textId="77777777" w:rsidR="008A6127" w:rsidRDefault="00437D9F">
      <w:pPr>
        <w:pStyle w:val="-1"/>
        <w:rPr>
          <w:bCs/>
          <w:color w:val="auto"/>
          <w:kern w:val="2"/>
          <w:sz w:val="24"/>
          <w:szCs w:val="24"/>
          <w:lang w:val="en-US"/>
        </w:rPr>
      </w:pPr>
      <w:r>
        <w:rPr>
          <w:rFonts w:hint="eastAsia"/>
          <w:bCs/>
          <w:color w:val="auto"/>
          <w:kern w:val="2"/>
          <w:sz w:val="24"/>
          <w:szCs w:val="24"/>
          <w:lang w:val="en-US"/>
        </w:rPr>
        <w:t>注：其他披露事项详见基金管理人发布的相关公告</w:t>
      </w:r>
    </w:p>
    <w:p w14:paraId="047A64AE"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rPr>
        <w:br w:type="page"/>
      </w:r>
      <w:bookmarkStart w:id="502" w:name="_Toc19090"/>
      <w:bookmarkStart w:id="503" w:name="_Toc360794424"/>
      <w:bookmarkStart w:id="504" w:name="_Toc5818"/>
      <w:bookmarkStart w:id="505" w:name="_Toc8597"/>
      <w:bookmarkStart w:id="506" w:name="_Toc362533471"/>
      <w:bookmarkStart w:id="507" w:name="_Toc362455199"/>
      <w:bookmarkStart w:id="508" w:name="_Toc20716"/>
      <w:bookmarkStart w:id="509" w:name="_Toc25976"/>
      <w:bookmarkStart w:id="510" w:name="_Toc360794532"/>
      <w:bookmarkStart w:id="511" w:name="_Toc360793514"/>
      <w:bookmarkStart w:id="512" w:name="_Toc421532573"/>
      <w:bookmarkStart w:id="513" w:name="_Toc360793866"/>
      <w:bookmarkStart w:id="514" w:name="_Toc405455139"/>
      <w:bookmarkStart w:id="515" w:name="_Toc360794116"/>
      <w:bookmarkStart w:id="516" w:name="_Toc204678802"/>
      <w:r>
        <w:rPr>
          <w:rFonts w:ascii="Cambria" w:hAnsi="Cambria" w:hint="eastAsia"/>
          <w:sz w:val="32"/>
          <w:szCs w:val="32"/>
        </w:rPr>
        <w:lastRenderedPageBreak/>
        <w:t>招募说明书存放及其查阅方式</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66752447" w14:textId="77777777" w:rsidR="008A6127" w:rsidRDefault="00437D9F">
      <w:pPr>
        <w:spacing w:line="360" w:lineRule="auto"/>
        <w:ind w:firstLineChars="200" w:firstLine="480"/>
        <w:rPr>
          <w:rFonts w:ascii="宋体" w:hAnsi="宋体"/>
          <w:bCs/>
          <w:sz w:val="24"/>
        </w:rPr>
      </w:pPr>
      <w:r>
        <w:rPr>
          <w:rFonts w:ascii="宋体" w:hAnsi="宋体" w:hint="eastAsia"/>
          <w:bCs/>
          <w:sz w:val="24"/>
        </w:rPr>
        <w:t>本招募说明书存放在本基金管理人、基金托管人、销售机构的办公场所，投资</w:t>
      </w:r>
      <w:r>
        <w:rPr>
          <w:rFonts w:ascii="宋体" w:hAnsi="宋体"/>
          <w:bCs/>
          <w:sz w:val="24"/>
        </w:rPr>
        <w:t>人</w:t>
      </w:r>
      <w:r>
        <w:rPr>
          <w:rFonts w:ascii="宋体" w:hAnsi="宋体" w:hint="eastAsia"/>
          <w:bCs/>
          <w:sz w:val="24"/>
        </w:rPr>
        <w:t>可在办公时间免费查阅；也可按工本费购买本招募说明书复制件或复印件，但应以招募说明书正本为准。投资人还可以直接登录基金管理人的网站（</w:t>
      </w:r>
      <w:r>
        <w:rPr>
          <w:rFonts w:ascii="宋体" w:hAnsi="宋体"/>
          <w:bCs/>
          <w:sz w:val="24"/>
        </w:rPr>
        <w:t>www.rosefinchfund.com</w:t>
      </w:r>
      <w:r>
        <w:rPr>
          <w:rFonts w:ascii="宋体" w:hAnsi="宋体" w:hint="eastAsia"/>
          <w:bCs/>
          <w:sz w:val="24"/>
        </w:rPr>
        <w:t>）查阅和下载招募说明书。</w:t>
      </w:r>
    </w:p>
    <w:p w14:paraId="36FD930E" w14:textId="77777777" w:rsidR="008A6127" w:rsidRDefault="00437D9F">
      <w:pPr>
        <w:spacing w:line="360" w:lineRule="auto"/>
        <w:ind w:firstLineChars="200" w:firstLine="480"/>
        <w:rPr>
          <w:rFonts w:ascii="宋体" w:hAnsi="宋体"/>
          <w:bCs/>
          <w:sz w:val="24"/>
        </w:rPr>
      </w:pPr>
      <w:r>
        <w:rPr>
          <w:rFonts w:ascii="宋体" w:hAnsi="宋体" w:hint="eastAsia"/>
          <w:bCs/>
          <w:sz w:val="24"/>
        </w:rPr>
        <w:t>基金管理人和基金托管人保证文本的内容与所公告的内容完全一致。</w:t>
      </w:r>
    </w:p>
    <w:p w14:paraId="38FF6311" w14:textId="77777777" w:rsidR="008A6127" w:rsidRDefault="00437D9F">
      <w:pPr>
        <w:pStyle w:val="1"/>
        <w:numPr>
          <w:ilvl w:val="0"/>
          <w:numId w:val="24"/>
        </w:numPr>
        <w:tabs>
          <w:tab w:val="clear" w:pos="3835"/>
          <w:tab w:val="left" w:pos="1002"/>
        </w:tabs>
        <w:spacing w:line="360" w:lineRule="auto"/>
        <w:jc w:val="center"/>
        <w:rPr>
          <w:rFonts w:ascii="Cambria" w:hAnsi="Cambria"/>
          <w:sz w:val="32"/>
          <w:szCs w:val="32"/>
        </w:rPr>
      </w:pPr>
      <w:r>
        <w:rPr>
          <w:rFonts w:ascii="Cambria" w:hAnsi="Cambria"/>
        </w:rPr>
        <w:br w:type="page"/>
      </w:r>
      <w:bookmarkStart w:id="517" w:name="_Toc405455140"/>
      <w:bookmarkStart w:id="518" w:name="_Toc360794533"/>
      <w:bookmarkStart w:id="519" w:name="_Toc24726"/>
      <w:bookmarkStart w:id="520" w:name="_Toc14722"/>
      <w:bookmarkStart w:id="521" w:name="_Toc1378"/>
      <w:bookmarkStart w:id="522" w:name="_Toc362455200"/>
      <w:bookmarkStart w:id="523" w:name="_Toc362533472"/>
      <w:bookmarkStart w:id="524" w:name="_Toc421532574"/>
      <w:bookmarkStart w:id="525" w:name="_Toc1953"/>
      <w:bookmarkStart w:id="526" w:name="_Toc360794425"/>
      <w:bookmarkStart w:id="527" w:name="_Toc360793867"/>
      <w:bookmarkStart w:id="528" w:name="_Toc17886"/>
      <w:bookmarkStart w:id="529" w:name="_Toc360793515"/>
      <w:bookmarkStart w:id="530" w:name="_Toc360794117"/>
      <w:bookmarkStart w:id="531" w:name="_Toc204678803"/>
      <w:r>
        <w:rPr>
          <w:rFonts w:ascii="Cambria" w:hAnsi="Cambria" w:hint="eastAsia"/>
          <w:sz w:val="32"/>
          <w:szCs w:val="32"/>
        </w:rPr>
        <w:lastRenderedPageBreak/>
        <w:t>备查文件</w:t>
      </w:r>
      <w:bookmarkEnd w:id="40"/>
      <w:bookmarkEnd w:id="41"/>
      <w:bookmarkEnd w:id="42"/>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38885AFE" w14:textId="77777777" w:rsidR="008A6127" w:rsidRDefault="00437D9F">
      <w:pPr>
        <w:spacing w:line="360" w:lineRule="auto"/>
        <w:ind w:firstLineChars="200" w:firstLine="480"/>
        <w:rPr>
          <w:rFonts w:ascii="宋体" w:hAnsi="宋体"/>
          <w:bCs/>
          <w:sz w:val="24"/>
        </w:rPr>
      </w:pPr>
      <w:r>
        <w:rPr>
          <w:rFonts w:ascii="宋体" w:hAnsi="宋体" w:hint="eastAsia"/>
          <w:bCs/>
          <w:sz w:val="24"/>
        </w:rPr>
        <w:t>以下备查文件存放在基金管理人的办公场所，在办公时间可供免费查阅。</w:t>
      </w:r>
    </w:p>
    <w:p w14:paraId="6217979D" w14:textId="77777777" w:rsidR="008A6127" w:rsidRDefault="00437D9F">
      <w:pPr>
        <w:spacing w:line="360" w:lineRule="auto"/>
        <w:ind w:firstLineChars="200" w:firstLine="480"/>
        <w:rPr>
          <w:rFonts w:ascii="宋体" w:hAnsi="宋体"/>
          <w:bCs/>
          <w:sz w:val="24"/>
        </w:rPr>
      </w:pPr>
      <w:r>
        <w:rPr>
          <w:rFonts w:ascii="宋体" w:hAnsi="宋体" w:hint="eastAsia"/>
          <w:bCs/>
          <w:sz w:val="24"/>
        </w:rPr>
        <w:t>（一）中国证监会准予朱雀产业</w:t>
      </w:r>
      <w:proofErr w:type="gramStart"/>
      <w:r>
        <w:rPr>
          <w:rFonts w:ascii="宋体" w:hAnsi="宋体" w:hint="eastAsia"/>
          <w:bCs/>
          <w:sz w:val="24"/>
        </w:rPr>
        <w:t>臻</w:t>
      </w:r>
      <w:proofErr w:type="gramEnd"/>
      <w:r>
        <w:rPr>
          <w:rFonts w:ascii="宋体" w:hAnsi="宋体" w:hint="eastAsia"/>
          <w:bCs/>
          <w:sz w:val="24"/>
        </w:rPr>
        <w:t>选混合型证券投资基金募集注册的文件</w:t>
      </w:r>
    </w:p>
    <w:p w14:paraId="3E205DF8" w14:textId="77777777" w:rsidR="008A6127" w:rsidRDefault="00437D9F">
      <w:pPr>
        <w:spacing w:line="360" w:lineRule="auto"/>
        <w:ind w:firstLineChars="200" w:firstLine="480"/>
        <w:rPr>
          <w:rFonts w:ascii="宋体" w:hAnsi="宋体"/>
          <w:bCs/>
          <w:sz w:val="24"/>
        </w:rPr>
      </w:pPr>
      <w:r>
        <w:rPr>
          <w:rFonts w:ascii="宋体" w:hAnsi="宋体" w:hint="eastAsia"/>
          <w:bCs/>
          <w:sz w:val="24"/>
        </w:rPr>
        <w:t>（二）《朱雀产业臻选混合型证券投资基金基金合同》</w:t>
      </w:r>
    </w:p>
    <w:p w14:paraId="7AC1B733" w14:textId="77777777" w:rsidR="008A6127" w:rsidRDefault="00437D9F">
      <w:pPr>
        <w:spacing w:line="360" w:lineRule="auto"/>
        <w:ind w:firstLineChars="200" w:firstLine="480"/>
        <w:rPr>
          <w:rFonts w:ascii="宋体" w:hAnsi="宋体"/>
          <w:bCs/>
          <w:sz w:val="24"/>
        </w:rPr>
      </w:pPr>
      <w:r>
        <w:rPr>
          <w:rFonts w:ascii="宋体" w:hAnsi="宋体" w:hint="eastAsia"/>
          <w:bCs/>
          <w:sz w:val="24"/>
        </w:rPr>
        <w:t>（三）《朱雀产业臻选混合型证券投资基金托管协议》</w:t>
      </w:r>
    </w:p>
    <w:p w14:paraId="749E23FF" w14:textId="77777777" w:rsidR="008A6127" w:rsidRDefault="00437D9F">
      <w:pPr>
        <w:spacing w:line="360" w:lineRule="auto"/>
        <w:ind w:firstLineChars="200" w:firstLine="480"/>
        <w:rPr>
          <w:rFonts w:ascii="宋体" w:hAnsi="宋体"/>
          <w:bCs/>
          <w:sz w:val="24"/>
        </w:rPr>
      </w:pPr>
      <w:r>
        <w:rPr>
          <w:rFonts w:ascii="宋体" w:hAnsi="宋体" w:hint="eastAsia"/>
          <w:bCs/>
          <w:sz w:val="24"/>
        </w:rPr>
        <w:t>（四）基金管理人业务资格批件、营业执照</w:t>
      </w:r>
    </w:p>
    <w:p w14:paraId="71D7F33B" w14:textId="77777777" w:rsidR="008A6127" w:rsidRDefault="00437D9F">
      <w:pPr>
        <w:spacing w:line="360" w:lineRule="auto"/>
        <w:ind w:firstLineChars="200" w:firstLine="480"/>
        <w:rPr>
          <w:rFonts w:ascii="宋体" w:hAnsi="宋体"/>
          <w:bCs/>
          <w:sz w:val="24"/>
        </w:rPr>
      </w:pPr>
      <w:r>
        <w:rPr>
          <w:rFonts w:ascii="宋体" w:hAnsi="宋体" w:hint="eastAsia"/>
          <w:bCs/>
          <w:sz w:val="24"/>
        </w:rPr>
        <w:t>（五）基金托管人业务资格批件、营业执照</w:t>
      </w:r>
    </w:p>
    <w:p w14:paraId="049B198B" w14:textId="77777777" w:rsidR="008A6127" w:rsidRDefault="00437D9F">
      <w:pPr>
        <w:spacing w:line="360" w:lineRule="auto"/>
        <w:ind w:firstLineChars="200" w:firstLine="480"/>
        <w:rPr>
          <w:rFonts w:ascii="宋体" w:hAnsi="宋体"/>
          <w:bCs/>
          <w:sz w:val="24"/>
        </w:rPr>
      </w:pPr>
      <w:r>
        <w:rPr>
          <w:rFonts w:ascii="宋体" w:hAnsi="宋体" w:hint="eastAsia"/>
          <w:bCs/>
          <w:sz w:val="24"/>
        </w:rPr>
        <w:t>（六）关于申请募集注册朱雀产业</w:t>
      </w:r>
      <w:proofErr w:type="gramStart"/>
      <w:r>
        <w:rPr>
          <w:rFonts w:ascii="宋体" w:hAnsi="宋体" w:hint="eastAsia"/>
          <w:bCs/>
          <w:sz w:val="24"/>
        </w:rPr>
        <w:t>臻</w:t>
      </w:r>
      <w:proofErr w:type="gramEnd"/>
      <w:r>
        <w:rPr>
          <w:rFonts w:ascii="宋体" w:hAnsi="宋体" w:hint="eastAsia"/>
          <w:bCs/>
          <w:sz w:val="24"/>
        </w:rPr>
        <w:t>选混合型证券投资基金的法律意见书</w:t>
      </w:r>
    </w:p>
    <w:p w14:paraId="4D2FADC1" w14:textId="77777777" w:rsidR="008A6127" w:rsidRDefault="00437D9F">
      <w:pPr>
        <w:spacing w:line="360" w:lineRule="auto"/>
        <w:ind w:firstLineChars="200" w:firstLine="480"/>
        <w:rPr>
          <w:rFonts w:ascii="宋体" w:hAnsi="宋体"/>
          <w:bCs/>
          <w:sz w:val="24"/>
        </w:rPr>
      </w:pPr>
      <w:r>
        <w:rPr>
          <w:rFonts w:ascii="宋体" w:hAnsi="宋体" w:hint="eastAsia"/>
          <w:bCs/>
          <w:sz w:val="24"/>
        </w:rPr>
        <w:t>（七）中国证监会要求的其他文件</w:t>
      </w:r>
    </w:p>
    <w:p w14:paraId="3929B129" w14:textId="77777777" w:rsidR="008A6127" w:rsidRDefault="008A6127">
      <w:pPr>
        <w:adjustRightInd w:val="0"/>
        <w:snapToGrid w:val="0"/>
        <w:spacing w:line="360" w:lineRule="auto"/>
        <w:ind w:firstLine="539"/>
        <w:rPr>
          <w:rFonts w:ascii="Cambria" w:hAnsi="Cambria"/>
        </w:rPr>
      </w:pPr>
    </w:p>
    <w:p w14:paraId="0F7E48E4" w14:textId="77777777" w:rsidR="008A6127" w:rsidRDefault="008A6127">
      <w:pPr>
        <w:adjustRightInd w:val="0"/>
        <w:snapToGrid w:val="0"/>
        <w:spacing w:line="360" w:lineRule="auto"/>
        <w:ind w:firstLine="539"/>
        <w:rPr>
          <w:rFonts w:ascii="Cambria" w:hAnsi="Cambria"/>
        </w:rPr>
        <w:sectPr w:rsidR="008A6127">
          <w:pgSz w:w="11906" w:h="16838"/>
          <w:pgMar w:top="1440" w:right="1800" w:bottom="1440" w:left="1800" w:header="851" w:footer="992" w:gutter="0"/>
          <w:cols w:space="720"/>
          <w:docGrid w:type="lines" w:linePitch="312"/>
        </w:sectPr>
      </w:pPr>
    </w:p>
    <w:p w14:paraId="7ABF01E1" w14:textId="77777777" w:rsidR="008A6127" w:rsidRDefault="00437D9F">
      <w:pPr>
        <w:snapToGrid w:val="0"/>
        <w:spacing w:line="360" w:lineRule="auto"/>
        <w:rPr>
          <w:rFonts w:ascii="宋体" w:hAnsi="宋体"/>
          <w:kern w:val="0"/>
          <w:sz w:val="24"/>
        </w:rPr>
      </w:pPr>
      <w:r>
        <w:rPr>
          <w:rFonts w:ascii="宋体" w:hAnsi="宋体" w:hint="eastAsia"/>
          <w:kern w:val="0"/>
          <w:sz w:val="24"/>
        </w:rPr>
        <w:lastRenderedPageBreak/>
        <w:t>（本页仅供《朱雀产业臻选混合型证券投资基金招募说明书（更新）》使用）</w:t>
      </w:r>
    </w:p>
    <w:p w14:paraId="0CB817A4" w14:textId="77777777" w:rsidR="008A6127" w:rsidRDefault="008A6127">
      <w:pPr>
        <w:adjustRightInd w:val="0"/>
        <w:snapToGrid w:val="0"/>
        <w:spacing w:line="360" w:lineRule="auto"/>
        <w:rPr>
          <w:rFonts w:ascii="宋体" w:hAnsi="宋体"/>
          <w:color w:val="000000"/>
          <w:kern w:val="0"/>
          <w:sz w:val="24"/>
        </w:rPr>
      </w:pPr>
    </w:p>
    <w:p w14:paraId="0D6FAEA5" w14:textId="77777777" w:rsidR="008A6127" w:rsidRDefault="008A6127">
      <w:pPr>
        <w:adjustRightInd w:val="0"/>
        <w:snapToGrid w:val="0"/>
        <w:spacing w:line="360" w:lineRule="auto"/>
        <w:rPr>
          <w:rFonts w:ascii="宋体" w:hAnsi="宋体"/>
          <w:color w:val="000000"/>
          <w:kern w:val="0"/>
          <w:sz w:val="24"/>
        </w:rPr>
      </w:pPr>
    </w:p>
    <w:p w14:paraId="108BAF09" w14:textId="77777777" w:rsidR="008A6127" w:rsidRDefault="008A6127">
      <w:pPr>
        <w:adjustRightInd w:val="0"/>
        <w:snapToGrid w:val="0"/>
        <w:spacing w:line="360" w:lineRule="auto"/>
        <w:rPr>
          <w:rFonts w:ascii="宋体" w:hAnsi="宋体"/>
          <w:color w:val="000000"/>
          <w:kern w:val="0"/>
          <w:sz w:val="24"/>
        </w:rPr>
      </w:pPr>
    </w:p>
    <w:p w14:paraId="59C69D7F" w14:textId="77777777" w:rsidR="008A6127" w:rsidRDefault="008A6127">
      <w:pPr>
        <w:adjustRightInd w:val="0"/>
        <w:snapToGrid w:val="0"/>
        <w:spacing w:line="360" w:lineRule="auto"/>
        <w:rPr>
          <w:rFonts w:ascii="宋体" w:hAnsi="宋体"/>
          <w:color w:val="000000"/>
          <w:kern w:val="0"/>
          <w:sz w:val="24"/>
        </w:rPr>
      </w:pPr>
    </w:p>
    <w:p w14:paraId="3394F7F0" w14:textId="77777777" w:rsidR="008A6127" w:rsidRDefault="008A6127">
      <w:pPr>
        <w:adjustRightInd w:val="0"/>
        <w:snapToGrid w:val="0"/>
        <w:spacing w:line="360" w:lineRule="auto"/>
        <w:rPr>
          <w:rFonts w:ascii="宋体" w:hAnsi="宋体"/>
          <w:color w:val="000000"/>
          <w:kern w:val="0"/>
          <w:sz w:val="24"/>
        </w:rPr>
      </w:pPr>
    </w:p>
    <w:p w14:paraId="74F8941E" w14:textId="77777777" w:rsidR="008A6127" w:rsidRDefault="008A6127">
      <w:pPr>
        <w:adjustRightInd w:val="0"/>
        <w:snapToGrid w:val="0"/>
        <w:spacing w:line="360" w:lineRule="auto"/>
        <w:rPr>
          <w:rFonts w:ascii="宋体" w:hAnsi="宋体"/>
          <w:color w:val="000000"/>
          <w:kern w:val="0"/>
          <w:sz w:val="24"/>
        </w:rPr>
      </w:pPr>
    </w:p>
    <w:p w14:paraId="7F572C3E" w14:textId="77777777" w:rsidR="008A6127" w:rsidRDefault="008A6127">
      <w:pPr>
        <w:adjustRightInd w:val="0"/>
        <w:snapToGrid w:val="0"/>
        <w:spacing w:line="360" w:lineRule="auto"/>
        <w:rPr>
          <w:rFonts w:ascii="宋体" w:hAnsi="宋体"/>
          <w:color w:val="000000"/>
          <w:kern w:val="0"/>
          <w:sz w:val="24"/>
        </w:rPr>
      </w:pPr>
    </w:p>
    <w:p w14:paraId="4E4955B6" w14:textId="77777777" w:rsidR="008A6127" w:rsidRDefault="008A6127">
      <w:pPr>
        <w:adjustRightInd w:val="0"/>
        <w:snapToGrid w:val="0"/>
        <w:spacing w:line="360" w:lineRule="auto"/>
        <w:rPr>
          <w:rFonts w:ascii="宋体" w:hAnsi="宋体"/>
          <w:color w:val="000000"/>
          <w:kern w:val="0"/>
          <w:sz w:val="24"/>
        </w:rPr>
      </w:pPr>
    </w:p>
    <w:p w14:paraId="6E6A0573" w14:textId="77777777" w:rsidR="008A6127" w:rsidRDefault="008A6127">
      <w:pPr>
        <w:adjustRightInd w:val="0"/>
        <w:snapToGrid w:val="0"/>
        <w:spacing w:line="360" w:lineRule="auto"/>
        <w:rPr>
          <w:rFonts w:ascii="宋体" w:hAnsi="宋体"/>
          <w:color w:val="000000"/>
          <w:kern w:val="0"/>
          <w:sz w:val="24"/>
        </w:rPr>
      </w:pPr>
    </w:p>
    <w:p w14:paraId="746000EA" w14:textId="77777777" w:rsidR="008A6127" w:rsidRDefault="008A6127">
      <w:pPr>
        <w:adjustRightInd w:val="0"/>
        <w:snapToGrid w:val="0"/>
        <w:spacing w:line="360" w:lineRule="auto"/>
        <w:rPr>
          <w:rFonts w:ascii="宋体" w:hAnsi="宋体"/>
          <w:color w:val="000000"/>
          <w:kern w:val="0"/>
          <w:sz w:val="24"/>
        </w:rPr>
      </w:pPr>
    </w:p>
    <w:p w14:paraId="220FFFD4" w14:textId="77777777" w:rsidR="008A6127" w:rsidRDefault="008A6127">
      <w:pPr>
        <w:adjustRightInd w:val="0"/>
        <w:snapToGrid w:val="0"/>
        <w:spacing w:line="360" w:lineRule="auto"/>
        <w:rPr>
          <w:rFonts w:ascii="宋体" w:hAnsi="宋体"/>
          <w:color w:val="000000"/>
          <w:kern w:val="0"/>
          <w:sz w:val="24"/>
        </w:rPr>
      </w:pPr>
    </w:p>
    <w:p w14:paraId="5AD6345E" w14:textId="77777777" w:rsidR="008A6127" w:rsidRDefault="00437D9F">
      <w:pPr>
        <w:adjustRightInd w:val="0"/>
        <w:snapToGrid w:val="0"/>
        <w:spacing w:line="360" w:lineRule="auto"/>
        <w:jc w:val="right"/>
        <w:rPr>
          <w:rFonts w:ascii="宋体" w:hAnsi="宋体"/>
          <w:color w:val="000000"/>
          <w:kern w:val="0"/>
          <w:sz w:val="24"/>
        </w:rPr>
      </w:pPr>
      <w:r>
        <w:rPr>
          <w:rFonts w:ascii="宋体" w:hAnsi="宋体" w:hint="eastAsia"/>
          <w:color w:val="000000"/>
          <w:kern w:val="0"/>
          <w:sz w:val="24"/>
        </w:rPr>
        <w:t>朱雀基金管理有限公司</w:t>
      </w:r>
    </w:p>
    <w:p w14:paraId="66A3D782" w14:textId="77777777" w:rsidR="008A6127" w:rsidRDefault="008A6127">
      <w:pPr>
        <w:adjustRightInd w:val="0"/>
        <w:snapToGrid w:val="0"/>
        <w:spacing w:line="360" w:lineRule="auto"/>
        <w:jc w:val="right"/>
        <w:rPr>
          <w:rFonts w:ascii="宋体" w:hAnsi="宋体"/>
          <w:color w:val="000000"/>
          <w:kern w:val="0"/>
          <w:sz w:val="24"/>
        </w:rPr>
      </w:pPr>
    </w:p>
    <w:p w14:paraId="368F7C81" w14:textId="0E33DE1D" w:rsidR="008A6127" w:rsidRDefault="009C2403">
      <w:pPr>
        <w:wordWrap w:val="0"/>
        <w:adjustRightInd w:val="0"/>
        <w:snapToGrid w:val="0"/>
        <w:spacing w:line="360" w:lineRule="auto"/>
        <w:jc w:val="right"/>
        <w:rPr>
          <w:rFonts w:ascii="Cambria" w:hAnsi="Cambria"/>
          <w:sz w:val="24"/>
        </w:rPr>
      </w:pPr>
      <w:r>
        <w:rPr>
          <w:rFonts w:ascii="宋体" w:hAnsi="宋体"/>
          <w:color w:val="000000"/>
          <w:kern w:val="0"/>
          <w:sz w:val="24"/>
        </w:rPr>
        <w:t>2026</w:t>
      </w:r>
      <w:r>
        <w:rPr>
          <w:rFonts w:ascii="宋体" w:hAnsi="宋体" w:hint="eastAsia"/>
          <w:color w:val="000000"/>
          <w:kern w:val="0"/>
          <w:sz w:val="24"/>
        </w:rPr>
        <w:t>年</w:t>
      </w:r>
      <w:r>
        <w:rPr>
          <w:rFonts w:ascii="宋体" w:hAnsi="宋体"/>
          <w:color w:val="000000"/>
          <w:kern w:val="0"/>
          <w:sz w:val="24"/>
        </w:rPr>
        <w:t>9</w:t>
      </w:r>
      <w:r w:rsidR="00437D9F">
        <w:rPr>
          <w:rFonts w:ascii="宋体" w:hAnsi="宋体" w:hint="eastAsia"/>
          <w:color w:val="000000"/>
          <w:kern w:val="0"/>
          <w:sz w:val="24"/>
        </w:rPr>
        <w:t>月</w:t>
      </w:r>
      <w:r>
        <w:rPr>
          <w:rFonts w:ascii="宋体" w:hAnsi="宋体"/>
          <w:color w:val="000000"/>
          <w:kern w:val="0"/>
          <w:sz w:val="24"/>
        </w:rPr>
        <w:t>21</w:t>
      </w:r>
      <w:r w:rsidR="00437D9F">
        <w:rPr>
          <w:rFonts w:ascii="宋体" w:hAnsi="宋体" w:hint="eastAsia"/>
          <w:color w:val="000000"/>
          <w:kern w:val="0"/>
          <w:sz w:val="24"/>
        </w:rPr>
        <w:t>日</w:t>
      </w:r>
    </w:p>
    <w:sectPr w:rsidR="008A6127">
      <w:headerReference w:type="first" r:id="rId34"/>
      <w:footerReference w:type="first" r:id="rId35"/>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C7112" w14:textId="77777777" w:rsidR="00C74FB5" w:rsidRDefault="00C74FB5">
      <w:r>
        <w:separator/>
      </w:r>
    </w:p>
  </w:endnote>
  <w:endnote w:type="continuationSeparator" w:id="0">
    <w:p w14:paraId="7E023B7D" w14:textId="77777777" w:rsidR="00C74FB5" w:rsidRDefault="00C74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_GB2312">
    <w:altName w:val="微软雅黑"/>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五">
    <w:altName w:val="宋体"/>
    <w:charset w:val="00"/>
    <w:family w:val="auto"/>
    <w:pitch w:val="default"/>
    <w:sig w:usb0="00000000" w:usb1="00000000" w:usb2="00000010" w:usb3="00000000" w:csb0="00040000" w:csb1="00000000"/>
  </w:font>
  <w:font w:name="方正黑体简体">
    <w:altName w:val="微软雅黑"/>
    <w:charset w:val="00"/>
    <w:family w:val="auto"/>
    <w:pitch w:val="default"/>
    <w:sig w:usb0="00000000" w:usb1="00000000" w:usb2="00000010" w:usb3="00000000" w:csb0="00040000" w:csb1="00000000"/>
  </w:font>
  <w:font w:name="ˎ̥">
    <w:altName w:val="Noto Serif SC"/>
    <w:charset w:val="00"/>
    <w:family w:val="roman"/>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8BB53" w14:textId="77777777" w:rsidR="00F94CAE" w:rsidRDefault="00F94CAE">
    <w:pPr>
      <w:pStyle w:val="afd"/>
      <w:framePr w:wrap="around" w:vAnchor="text" w:hAnchor="margin" w:xAlign="center" w:y="1"/>
      <w:rPr>
        <w:rStyle w:val="afff"/>
      </w:rPr>
    </w:pPr>
    <w:r>
      <w:fldChar w:fldCharType="begin"/>
    </w:r>
    <w:r>
      <w:rPr>
        <w:rStyle w:val="afff"/>
      </w:rPr>
      <w:instrText xml:space="preserve">PAGE  </w:instrText>
    </w:r>
    <w:r>
      <w:fldChar w:fldCharType="end"/>
    </w:r>
  </w:p>
  <w:p w14:paraId="07A74BA7" w14:textId="77777777" w:rsidR="00F94CAE" w:rsidRDefault="00F94CAE">
    <w:pPr>
      <w:pStyle w:val="af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F5513" w14:textId="77777777" w:rsidR="00F94CAE" w:rsidRDefault="00F94CAE">
    <w:pPr>
      <w:pStyle w:val="afd"/>
      <w:framePr w:wrap="around" w:vAnchor="text" w:hAnchor="margin" w:xAlign="center" w:y="1"/>
      <w:rPr>
        <w:rStyle w:val="afff"/>
      </w:rPr>
    </w:pPr>
    <w:r>
      <w:fldChar w:fldCharType="begin"/>
    </w:r>
    <w:r>
      <w:rPr>
        <w:rStyle w:val="afff"/>
      </w:rPr>
      <w:instrText xml:space="preserve">PAGE  </w:instrText>
    </w:r>
    <w:r>
      <w:fldChar w:fldCharType="end"/>
    </w:r>
  </w:p>
  <w:p w14:paraId="31FF898D" w14:textId="77777777" w:rsidR="00F94CAE" w:rsidRDefault="00F94CAE">
    <w:pPr>
      <w:pStyle w:val="af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208F5" w14:textId="5AECE7DE" w:rsidR="00F94CAE" w:rsidRDefault="00F94CAE">
    <w:pPr>
      <w:pStyle w:val="afd"/>
      <w:jc w:val="center"/>
      <w:rPr>
        <w:sz w:val="21"/>
        <w:szCs w:val="21"/>
      </w:rPr>
    </w:pPr>
    <w:r>
      <w:rPr>
        <w:sz w:val="21"/>
        <w:szCs w:val="21"/>
      </w:rPr>
      <w:fldChar w:fldCharType="begin"/>
    </w:r>
    <w:r>
      <w:rPr>
        <w:sz w:val="21"/>
        <w:szCs w:val="21"/>
      </w:rPr>
      <w:instrText>PAGE   \* MERGEFORMAT</w:instrText>
    </w:r>
    <w:r>
      <w:rPr>
        <w:sz w:val="21"/>
        <w:szCs w:val="21"/>
      </w:rPr>
      <w:fldChar w:fldCharType="separate"/>
    </w:r>
    <w:r w:rsidRPr="00B67392">
      <w:rPr>
        <w:noProof/>
        <w:sz w:val="21"/>
        <w:szCs w:val="21"/>
        <w:lang w:val="zh-CN"/>
      </w:rPr>
      <w:t>20</w:t>
    </w:r>
    <w:r>
      <w:rPr>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D0827" w14:textId="77777777" w:rsidR="00F94CAE" w:rsidRDefault="00F94CAE">
    <w:pPr>
      <w:pStyle w:val="af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92D47" w14:textId="77777777" w:rsidR="00F94CAE" w:rsidRDefault="00F94CAE">
    <w:pPr>
      <w:pStyle w:val="af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C638C" w14:textId="77777777" w:rsidR="00F94CAE" w:rsidRDefault="00F94CAE">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EA715" w14:textId="77777777" w:rsidR="00C74FB5" w:rsidRDefault="00C74FB5">
      <w:r>
        <w:separator/>
      </w:r>
    </w:p>
  </w:footnote>
  <w:footnote w:type="continuationSeparator" w:id="0">
    <w:p w14:paraId="0D266194" w14:textId="77777777" w:rsidR="00C74FB5" w:rsidRDefault="00C74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536F2" w14:textId="77777777" w:rsidR="00F94CAE" w:rsidRDefault="00F94CAE">
    <w:pPr>
      <w:pStyle w:val="aff0"/>
      <w:ind w:right="45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F5894" w14:textId="77777777" w:rsidR="00F94CAE" w:rsidRDefault="00F94CAE">
    <w:pPr>
      <w:pStyle w:val="aff0"/>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86654" w14:textId="77777777" w:rsidR="00F94CAE" w:rsidRDefault="00F94CAE">
    <w:pPr>
      <w:pStyle w:val="aff0"/>
      <w:wordWrap w:val="0"/>
      <w:ind w:right="204"/>
      <w:jc w:val="right"/>
      <w:rPr>
        <w:rFonts w:ascii="Cambria" w:hAnsi="Cambria"/>
        <w:sz w:val="21"/>
        <w:szCs w:val="21"/>
      </w:rPr>
    </w:pPr>
    <w:r>
      <w:rPr>
        <w:rFonts w:ascii="Cambria" w:hAnsi="Cambria" w:hint="eastAsia"/>
        <w:sz w:val="21"/>
        <w:szCs w:val="21"/>
      </w:rPr>
      <w:t>朱雀产业</w:t>
    </w:r>
    <w:proofErr w:type="gramStart"/>
    <w:r>
      <w:rPr>
        <w:rFonts w:ascii="Cambria" w:hAnsi="Cambria" w:hint="eastAsia"/>
        <w:sz w:val="21"/>
        <w:szCs w:val="21"/>
      </w:rPr>
      <w:t>臻</w:t>
    </w:r>
    <w:proofErr w:type="gramEnd"/>
    <w:r>
      <w:rPr>
        <w:rFonts w:ascii="Cambria" w:hAnsi="Cambria" w:hint="eastAsia"/>
        <w:sz w:val="21"/>
        <w:szCs w:val="21"/>
      </w:rPr>
      <w:t>选混合型证券投资基金招募说明书（更新）</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AF18D" w14:textId="77777777" w:rsidR="00F94CAE" w:rsidRDefault="00F94CAE">
    <w:pPr>
      <w:pStyle w:val="aff0"/>
      <w:wordWrap w:val="0"/>
      <w:ind w:right="204"/>
      <w:jc w:val="right"/>
      <w:rPr>
        <w:rFonts w:ascii="Cambria" w:hAnsi="Cambria"/>
        <w:sz w:val="28"/>
        <w:szCs w:val="28"/>
      </w:rPr>
    </w:pPr>
    <w:r>
      <w:rPr>
        <w:rFonts w:ascii="Cambria" w:hAnsi="Cambria" w:hint="eastAsia"/>
        <w:szCs w:val="28"/>
      </w:rPr>
      <w:t>朱雀价值精选混合型证券投资基金招募说明书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6B597" w14:textId="77777777" w:rsidR="00F94CAE" w:rsidRDefault="00F94CAE"/>
  <w:p w14:paraId="50714AD4" w14:textId="77777777" w:rsidR="00F94CAE" w:rsidRDefault="00F94CAE">
    <w:pPr>
      <w:pStyle w:val="aff0"/>
      <w:pBdr>
        <w:bottom w:val="none" w:sz="0" w:space="1"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1" w15:restartNumberingAfterBreak="0">
    <w:nsid w:val="044209E7"/>
    <w:multiLevelType w:val="multilevel"/>
    <w:tmpl w:val="044209E7"/>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 w15:restartNumberingAfterBreak="0">
    <w:nsid w:val="096C2ACA"/>
    <w:multiLevelType w:val="singleLevel"/>
    <w:tmpl w:val="096C2ACA"/>
    <w:lvl w:ilvl="0">
      <w:start w:val="2"/>
      <w:numFmt w:val="japaneseCounting"/>
      <w:pStyle w:val="ParaChar"/>
      <w:lvlText w:val="（%1）"/>
      <w:lvlJc w:val="left"/>
      <w:pPr>
        <w:tabs>
          <w:tab w:val="left" w:pos="870"/>
        </w:tabs>
        <w:ind w:left="870" w:hanging="870"/>
      </w:pPr>
    </w:lvl>
  </w:abstractNum>
  <w:abstractNum w:abstractNumId="3" w15:restartNumberingAfterBreak="0">
    <w:nsid w:val="0B101077"/>
    <w:multiLevelType w:val="singleLevel"/>
    <w:tmpl w:val="0B101077"/>
    <w:lvl w:ilvl="0">
      <w:start w:val="1"/>
      <w:numFmt w:val="decimal"/>
      <w:pStyle w:val="a"/>
      <w:lvlText w:val="%1)"/>
      <w:lvlJc w:val="left"/>
      <w:pPr>
        <w:tabs>
          <w:tab w:val="left" w:pos="720"/>
        </w:tabs>
        <w:ind w:left="720" w:hanging="360"/>
      </w:pPr>
    </w:lvl>
  </w:abstractNum>
  <w:abstractNum w:abstractNumId="4" w15:restartNumberingAfterBreak="0">
    <w:nsid w:val="10F37ADE"/>
    <w:multiLevelType w:val="multilevel"/>
    <w:tmpl w:val="10F37ADE"/>
    <w:lvl w:ilvl="0">
      <w:start w:val="1"/>
      <w:numFmt w:val="decimal"/>
      <w:pStyle w:val="AOListNumber"/>
      <w:lvlText w:val="%1."/>
      <w:lvlJc w:val="left"/>
      <w:pPr>
        <w:tabs>
          <w:tab w:val="left" w:pos="720"/>
        </w:tabs>
        <w:ind w:left="720" w:hanging="720"/>
      </w:pPr>
    </w:lvl>
    <w:lvl w:ilvl="1">
      <w:start w:val="1"/>
      <w:numFmt w:val="lowerLetter"/>
      <w:lvlText w:val="(%2)"/>
      <w:lvlJc w:val="left"/>
      <w:pPr>
        <w:tabs>
          <w:tab w:val="left" w:pos="720"/>
        </w:tabs>
        <w:ind w:left="720" w:hanging="720"/>
      </w:pPr>
    </w:lvl>
    <w:lvl w:ilvl="2">
      <w:start w:val="1"/>
      <w:numFmt w:val="lowerRoman"/>
      <w:lvlText w:val="(%3)"/>
      <w:lvlJc w:val="left"/>
      <w:pPr>
        <w:tabs>
          <w:tab w:val="left" w:pos="1440"/>
        </w:tabs>
        <w:ind w:left="1440" w:hanging="720"/>
      </w:pPr>
    </w:lvl>
    <w:lvl w:ilvl="3">
      <w:start w:val="1"/>
      <w:numFmt w:val="upperLetter"/>
      <w:lvlText w:val="(%4)"/>
      <w:lvlJc w:val="left"/>
      <w:pPr>
        <w:tabs>
          <w:tab w:val="left" w:pos="2160"/>
        </w:tabs>
        <w:ind w:left="2160" w:hanging="720"/>
      </w:pPr>
    </w:lvl>
    <w:lvl w:ilvl="4">
      <w:start w:val="1"/>
      <w:numFmt w:val="upperRoman"/>
      <w:lvlText w:val="%5."/>
      <w:lvlJc w:val="left"/>
      <w:pPr>
        <w:tabs>
          <w:tab w:val="left" w:pos="2880"/>
        </w:tabs>
        <w:ind w:left="2880" w:hanging="720"/>
      </w:pPr>
    </w:lvl>
    <w:lvl w:ilvl="5">
      <w:start w:val="1"/>
      <w:numFmt w:val="lowerLetter"/>
      <w:lvlText w:val="(%6)"/>
      <w:lvlJc w:val="left"/>
      <w:pPr>
        <w:tabs>
          <w:tab w:val="left" w:pos="1440"/>
        </w:tabs>
        <w:ind w:left="1440" w:hanging="720"/>
      </w:pPr>
    </w:lvl>
    <w:lvl w:ilvl="6">
      <w:start w:val="1"/>
      <w:numFmt w:val="lowerRoman"/>
      <w:lvlText w:val="(%7)"/>
      <w:lvlJc w:val="left"/>
      <w:pPr>
        <w:tabs>
          <w:tab w:val="left" w:pos="2160"/>
        </w:tabs>
        <w:ind w:left="2160" w:hanging="720"/>
      </w:pPr>
    </w:lvl>
    <w:lvl w:ilvl="7">
      <w:start w:val="1"/>
      <w:numFmt w:val="upperLetter"/>
      <w:lvlText w:val="(%8)"/>
      <w:lvlJc w:val="left"/>
      <w:pPr>
        <w:tabs>
          <w:tab w:val="left" w:pos="2880"/>
        </w:tabs>
        <w:ind w:left="2880" w:hanging="720"/>
      </w:pPr>
    </w:lvl>
    <w:lvl w:ilvl="8">
      <w:start w:val="1"/>
      <w:numFmt w:val="upperRoman"/>
      <w:lvlText w:val="%9."/>
      <w:lvlJc w:val="left"/>
      <w:pPr>
        <w:tabs>
          <w:tab w:val="left" w:pos="3600"/>
        </w:tabs>
        <w:ind w:left="3600" w:hanging="720"/>
      </w:pPr>
    </w:lvl>
  </w:abstractNum>
  <w:abstractNum w:abstractNumId="5" w15:restartNumberingAfterBreak="0">
    <w:nsid w:val="13B718D4"/>
    <w:multiLevelType w:val="multilevel"/>
    <w:tmpl w:val="13B718D4"/>
    <w:lvl w:ilvl="0">
      <w:start w:val="1"/>
      <w:numFmt w:val="decimal"/>
      <w:pStyle w:val="2"/>
      <w:lvlText w:val="（%1）"/>
      <w:lvlJc w:val="center"/>
      <w:pPr>
        <w:tabs>
          <w:tab w:val="left" w:pos="648"/>
        </w:tabs>
        <w:ind w:left="0" w:firstLine="288"/>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1B0661F6"/>
    <w:multiLevelType w:val="singleLevel"/>
    <w:tmpl w:val="1B0661F6"/>
    <w:lvl w:ilvl="0">
      <w:start w:val="1"/>
      <w:numFmt w:val="bullet"/>
      <w:pStyle w:val="AOBullet2"/>
      <w:lvlText w:val=""/>
      <w:lvlJc w:val="left"/>
      <w:pPr>
        <w:tabs>
          <w:tab w:val="left" w:pos="720"/>
        </w:tabs>
        <w:ind w:left="720" w:hanging="720"/>
      </w:pPr>
      <w:rPr>
        <w:rFonts w:ascii="Symbol" w:hAnsi="Symbol" w:hint="default"/>
      </w:rPr>
    </w:lvl>
  </w:abstractNum>
  <w:abstractNum w:abstractNumId="7" w15:restartNumberingAfterBreak="0">
    <w:nsid w:val="31FA6DE9"/>
    <w:multiLevelType w:val="singleLevel"/>
    <w:tmpl w:val="31FA6DE9"/>
    <w:lvl w:ilvl="0">
      <w:start w:val="1"/>
      <w:numFmt w:val="bullet"/>
      <w:pStyle w:val="AOBullet"/>
      <w:lvlText w:val=""/>
      <w:lvlJc w:val="left"/>
      <w:pPr>
        <w:tabs>
          <w:tab w:val="left" w:pos="720"/>
        </w:tabs>
        <w:ind w:left="720" w:hanging="720"/>
      </w:pPr>
      <w:rPr>
        <w:rFonts w:ascii="Symbol" w:hAnsi="Symbol" w:hint="default"/>
      </w:rPr>
    </w:lvl>
  </w:abstractNum>
  <w:abstractNum w:abstractNumId="8" w15:restartNumberingAfterBreak="0">
    <w:nsid w:val="36063A36"/>
    <w:multiLevelType w:val="singleLevel"/>
    <w:tmpl w:val="36063A36"/>
    <w:lvl w:ilvl="0">
      <w:start w:val="1"/>
      <w:numFmt w:val="bullet"/>
      <w:pStyle w:val="a0"/>
      <w:lvlText w:val=""/>
      <w:lvlJc w:val="left"/>
      <w:pPr>
        <w:tabs>
          <w:tab w:val="left" w:pos="720"/>
        </w:tabs>
        <w:ind w:left="720" w:hanging="360"/>
      </w:pPr>
      <w:rPr>
        <w:rFonts w:ascii="Wingdings" w:hAnsi="Wingdings" w:hint="default"/>
      </w:rPr>
    </w:lvl>
  </w:abstractNum>
  <w:abstractNum w:abstractNumId="9" w15:restartNumberingAfterBreak="0">
    <w:nsid w:val="3D0E7D39"/>
    <w:multiLevelType w:val="multilevel"/>
    <w:tmpl w:val="3D0E7D39"/>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0" w15:restartNumberingAfterBreak="0">
    <w:nsid w:val="3DAC2829"/>
    <w:multiLevelType w:val="singleLevel"/>
    <w:tmpl w:val="3DAC2829"/>
    <w:lvl w:ilvl="0">
      <w:start w:val="1"/>
      <w:numFmt w:val="decimal"/>
      <w:pStyle w:val="20"/>
      <w:lvlText w:val="(%1)"/>
      <w:lvlJc w:val="left"/>
      <w:pPr>
        <w:tabs>
          <w:tab w:val="left" w:pos="907"/>
        </w:tabs>
        <w:ind w:left="907" w:hanging="482"/>
      </w:pPr>
    </w:lvl>
  </w:abstractNum>
  <w:abstractNum w:abstractNumId="11" w15:restartNumberingAfterBreak="0">
    <w:nsid w:val="3E29759A"/>
    <w:multiLevelType w:val="multilevel"/>
    <w:tmpl w:val="3E29759A"/>
    <w:lvl w:ilvl="0">
      <w:start w:val="1"/>
      <w:numFmt w:val="decimal"/>
      <w:pStyle w:val="AOGenNum2"/>
      <w:lvlText w:val="%1."/>
      <w:lvlJc w:val="left"/>
      <w:pPr>
        <w:tabs>
          <w:tab w:val="left" w:pos="720"/>
        </w:tabs>
        <w:ind w:left="720" w:hanging="720"/>
      </w:pPr>
    </w:lvl>
    <w:lvl w:ilvl="1">
      <w:start w:val="1"/>
      <w:numFmt w:val="decimal"/>
      <w:pStyle w:val="AOGenNum2Para"/>
      <w:lvlText w:val="%1.%2"/>
      <w:lvlJc w:val="left"/>
      <w:pPr>
        <w:tabs>
          <w:tab w:val="left" w:pos="720"/>
        </w:tabs>
        <w:ind w:left="720" w:hanging="720"/>
      </w:pPr>
    </w:lvl>
    <w:lvl w:ilvl="2">
      <w:start w:val="1"/>
      <w:numFmt w:val="lowerLetter"/>
      <w:pStyle w:val="AOGenNum2List"/>
      <w:lvlText w:val="(%3)"/>
      <w:lvlJc w:val="left"/>
      <w:pPr>
        <w:tabs>
          <w:tab w:val="left" w:pos="720"/>
        </w:tabs>
        <w:ind w:left="720" w:hanging="720"/>
      </w:pPr>
    </w:lvl>
    <w:lvl w:ilvl="3">
      <w:start w:val="1"/>
      <w:numFmt w:val="lowerLetter"/>
      <w:lvlText w:val="(%4)"/>
      <w:lvlJc w:val="left"/>
      <w:pPr>
        <w:tabs>
          <w:tab w:val="left" w:pos="1440"/>
        </w:tabs>
        <w:ind w:left="1440" w:hanging="720"/>
      </w:pPr>
    </w:lvl>
    <w:lvl w:ilvl="4">
      <w:start w:val="1"/>
      <w:numFmt w:val="lowerRoman"/>
      <w:lvlText w:val="(%5)"/>
      <w:lvlJc w:val="left"/>
      <w:pPr>
        <w:tabs>
          <w:tab w:val="left" w:pos="1440"/>
        </w:tabs>
        <w:ind w:left="1440" w:hanging="720"/>
      </w:pPr>
    </w:lvl>
    <w:lvl w:ilvl="5">
      <w:start w:val="1"/>
      <w:numFmt w:val="lowerRoman"/>
      <w:lvlText w:val="(%6)"/>
      <w:lvlJc w:val="left"/>
      <w:pPr>
        <w:tabs>
          <w:tab w:val="left" w:pos="2160"/>
        </w:tabs>
        <w:ind w:left="2160" w:hanging="720"/>
      </w:pPr>
    </w:lvl>
    <w:lvl w:ilvl="6">
      <w:start w:val="1"/>
      <w:numFmt w:val="upperLetter"/>
      <w:lvlText w:val="(%7)"/>
      <w:lvlJc w:val="left"/>
      <w:pPr>
        <w:tabs>
          <w:tab w:val="left" w:pos="2160"/>
        </w:tabs>
        <w:ind w:left="2160" w:hanging="720"/>
      </w:pPr>
    </w:lvl>
    <w:lvl w:ilvl="7">
      <w:start w:val="1"/>
      <w:numFmt w:val="upperLetter"/>
      <w:lvlText w:val="(%8)"/>
      <w:lvlJc w:val="left"/>
      <w:pPr>
        <w:tabs>
          <w:tab w:val="left" w:pos="2880"/>
        </w:tabs>
        <w:ind w:left="2880" w:hanging="720"/>
      </w:pPr>
    </w:lvl>
    <w:lvl w:ilvl="8">
      <w:start w:val="1"/>
      <w:numFmt w:val="upperRoman"/>
      <w:lvlText w:val="%9."/>
      <w:lvlJc w:val="left"/>
      <w:pPr>
        <w:tabs>
          <w:tab w:val="left" w:pos="3600"/>
        </w:tabs>
        <w:ind w:left="3600" w:hanging="720"/>
      </w:pPr>
    </w:lvl>
  </w:abstractNum>
  <w:abstractNum w:abstractNumId="12" w15:restartNumberingAfterBreak="0">
    <w:nsid w:val="41F230E7"/>
    <w:multiLevelType w:val="singleLevel"/>
    <w:tmpl w:val="41F230E7"/>
    <w:lvl w:ilvl="0">
      <w:start w:val="1"/>
      <w:numFmt w:val="bullet"/>
      <w:pStyle w:val="AOBullet4"/>
      <w:lvlText w:val=""/>
      <w:lvlJc w:val="left"/>
      <w:pPr>
        <w:tabs>
          <w:tab w:val="left" w:pos="720"/>
        </w:tabs>
        <w:ind w:left="720" w:hanging="720"/>
      </w:pPr>
      <w:rPr>
        <w:rFonts w:ascii="Wingdings" w:hAnsi="Wingdings" w:hint="default"/>
      </w:rPr>
    </w:lvl>
  </w:abstractNum>
  <w:abstractNum w:abstractNumId="13" w15:restartNumberingAfterBreak="0">
    <w:nsid w:val="475B3203"/>
    <w:multiLevelType w:val="multilevel"/>
    <w:tmpl w:val="475B3203"/>
    <w:lvl w:ilvl="0">
      <w:start w:val="1"/>
      <w:numFmt w:val="none"/>
      <w:pStyle w:val="AODocTxt"/>
      <w:suff w:val="nothing"/>
      <w:lvlText w:val=""/>
      <w:lvlJc w:val="left"/>
      <w:pPr>
        <w:ind w:left="1260" w:firstLine="0"/>
      </w:pPr>
    </w:lvl>
    <w:lvl w:ilvl="1">
      <w:start w:val="1"/>
      <w:numFmt w:val="none"/>
      <w:pStyle w:val="AODocTxtL1"/>
      <w:suff w:val="nothing"/>
      <w:lvlText w:val=""/>
      <w:lvlJc w:val="left"/>
      <w:pPr>
        <w:ind w:left="1980" w:firstLine="0"/>
      </w:pPr>
    </w:lvl>
    <w:lvl w:ilvl="2">
      <w:start w:val="1"/>
      <w:numFmt w:val="none"/>
      <w:pStyle w:val="AODocTxtL2"/>
      <w:suff w:val="nothing"/>
      <w:lvlText w:val=""/>
      <w:lvlJc w:val="left"/>
      <w:pPr>
        <w:ind w:left="2700" w:firstLine="0"/>
      </w:pPr>
    </w:lvl>
    <w:lvl w:ilvl="3">
      <w:start w:val="1"/>
      <w:numFmt w:val="none"/>
      <w:pStyle w:val="AODocTxtL3"/>
      <w:suff w:val="nothing"/>
      <w:lvlText w:val=""/>
      <w:lvlJc w:val="left"/>
      <w:pPr>
        <w:ind w:left="3420" w:firstLine="0"/>
      </w:pPr>
    </w:lvl>
    <w:lvl w:ilvl="4">
      <w:start w:val="1"/>
      <w:numFmt w:val="none"/>
      <w:pStyle w:val="AODocTxtL4"/>
      <w:suff w:val="nothing"/>
      <w:lvlText w:val=""/>
      <w:lvlJc w:val="left"/>
      <w:pPr>
        <w:ind w:left="4140" w:firstLine="0"/>
      </w:pPr>
    </w:lvl>
    <w:lvl w:ilvl="5">
      <w:start w:val="1"/>
      <w:numFmt w:val="none"/>
      <w:pStyle w:val="AODocTxtL5"/>
      <w:suff w:val="nothing"/>
      <w:lvlText w:val=""/>
      <w:lvlJc w:val="left"/>
      <w:pPr>
        <w:ind w:left="4860" w:firstLine="0"/>
      </w:pPr>
    </w:lvl>
    <w:lvl w:ilvl="6">
      <w:start w:val="1"/>
      <w:numFmt w:val="none"/>
      <w:pStyle w:val="AODocTxtL6"/>
      <w:suff w:val="nothing"/>
      <w:lvlText w:val=""/>
      <w:lvlJc w:val="left"/>
      <w:pPr>
        <w:ind w:left="5580" w:firstLine="0"/>
      </w:pPr>
    </w:lvl>
    <w:lvl w:ilvl="7">
      <w:start w:val="1"/>
      <w:numFmt w:val="none"/>
      <w:pStyle w:val="AODocTxtL7"/>
      <w:suff w:val="nothing"/>
      <w:lvlText w:val=""/>
      <w:lvlJc w:val="left"/>
      <w:pPr>
        <w:ind w:left="6300" w:firstLine="0"/>
      </w:pPr>
    </w:lvl>
    <w:lvl w:ilvl="8">
      <w:start w:val="1"/>
      <w:numFmt w:val="none"/>
      <w:pStyle w:val="AODocTxtL8"/>
      <w:suff w:val="nothing"/>
      <w:lvlText w:val=""/>
      <w:lvlJc w:val="left"/>
      <w:pPr>
        <w:ind w:left="7020" w:firstLine="0"/>
      </w:pPr>
    </w:lvl>
  </w:abstractNum>
  <w:abstractNum w:abstractNumId="14" w15:restartNumberingAfterBreak="0">
    <w:nsid w:val="47B238E7"/>
    <w:multiLevelType w:val="multilevel"/>
    <w:tmpl w:val="47B238E7"/>
    <w:lvl w:ilvl="0">
      <w:start w:val="1"/>
      <w:numFmt w:val="decimal"/>
      <w:pStyle w:val="AOGenNum3"/>
      <w:lvlText w:val="%1."/>
      <w:lvlJc w:val="left"/>
      <w:pPr>
        <w:tabs>
          <w:tab w:val="left" w:pos="720"/>
        </w:tabs>
        <w:ind w:left="720" w:hanging="720"/>
      </w:pPr>
    </w:lvl>
    <w:lvl w:ilvl="1">
      <w:start w:val="1"/>
      <w:numFmt w:val="decimal"/>
      <w:pStyle w:val="AOGenNum3List"/>
      <w:lvlText w:val="%1.%2"/>
      <w:lvlJc w:val="left"/>
      <w:pPr>
        <w:tabs>
          <w:tab w:val="left" w:pos="720"/>
        </w:tabs>
        <w:ind w:left="720" w:hanging="720"/>
      </w:pPr>
    </w:lvl>
    <w:lvl w:ilvl="2">
      <w:start w:val="1"/>
      <w:numFmt w:val="lowerLetter"/>
      <w:lvlText w:val="(%3)"/>
      <w:lvlJc w:val="left"/>
      <w:pPr>
        <w:tabs>
          <w:tab w:val="left" w:pos="720"/>
        </w:tabs>
        <w:ind w:left="720" w:hanging="720"/>
      </w:pPr>
    </w:lvl>
    <w:lvl w:ilvl="3">
      <w:start w:val="1"/>
      <w:numFmt w:val="lowerLetter"/>
      <w:lvlText w:val="(%4)"/>
      <w:lvlJc w:val="left"/>
      <w:pPr>
        <w:tabs>
          <w:tab w:val="left" w:pos="1440"/>
        </w:tabs>
        <w:ind w:left="1440" w:hanging="720"/>
      </w:pPr>
    </w:lvl>
    <w:lvl w:ilvl="4">
      <w:start w:val="1"/>
      <w:numFmt w:val="lowerRoman"/>
      <w:lvlText w:val="(%5)"/>
      <w:lvlJc w:val="left"/>
      <w:pPr>
        <w:tabs>
          <w:tab w:val="left" w:pos="1440"/>
        </w:tabs>
        <w:ind w:left="1440" w:hanging="720"/>
      </w:pPr>
    </w:lvl>
    <w:lvl w:ilvl="5">
      <w:start w:val="1"/>
      <w:numFmt w:val="lowerRoman"/>
      <w:lvlText w:val="(%6)"/>
      <w:lvlJc w:val="left"/>
      <w:pPr>
        <w:tabs>
          <w:tab w:val="left" w:pos="2160"/>
        </w:tabs>
        <w:ind w:left="2160" w:hanging="720"/>
      </w:pPr>
    </w:lvl>
    <w:lvl w:ilvl="6">
      <w:start w:val="1"/>
      <w:numFmt w:val="upperLetter"/>
      <w:lvlText w:val="(%7)"/>
      <w:lvlJc w:val="left"/>
      <w:pPr>
        <w:tabs>
          <w:tab w:val="left" w:pos="2160"/>
        </w:tabs>
        <w:ind w:left="2160" w:hanging="720"/>
      </w:pPr>
    </w:lvl>
    <w:lvl w:ilvl="7">
      <w:start w:val="1"/>
      <w:numFmt w:val="upperLetter"/>
      <w:lvlText w:val="(%8)"/>
      <w:lvlJc w:val="left"/>
      <w:pPr>
        <w:tabs>
          <w:tab w:val="left" w:pos="2880"/>
        </w:tabs>
        <w:ind w:left="2880" w:hanging="720"/>
      </w:pPr>
    </w:lvl>
    <w:lvl w:ilvl="8">
      <w:start w:val="1"/>
      <w:numFmt w:val="upperRoman"/>
      <w:lvlText w:val="%9."/>
      <w:lvlJc w:val="left"/>
      <w:pPr>
        <w:tabs>
          <w:tab w:val="left" w:pos="3600"/>
        </w:tabs>
        <w:ind w:left="3600" w:hanging="720"/>
      </w:pPr>
    </w:lvl>
  </w:abstractNum>
  <w:abstractNum w:abstractNumId="15" w15:restartNumberingAfterBreak="0">
    <w:nsid w:val="49C66851"/>
    <w:multiLevelType w:val="multilevel"/>
    <w:tmpl w:val="49C66851"/>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4CFE7B09"/>
    <w:multiLevelType w:val="multilevel"/>
    <w:tmpl w:val="4CFE7B09"/>
    <w:lvl w:ilvl="0">
      <w:start w:val="1"/>
      <w:numFmt w:val="decimal"/>
      <w:pStyle w:val="AO1"/>
      <w:lvlText w:val="(%1)"/>
      <w:lvlJc w:val="left"/>
      <w:pPr>
        <w:tabs>
          <w:tab w:val="left"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7" w15:restartNumberingAfterBreak="0">
    <w:nsid w:val="4E4B4E3E"/>
    <w:multiLevelType w:val="multilevel"/>
    <w:tmpl w:val="4E4B4E3E"/>
    <w:lvl w:ilvl="0">
      <w:start w:val="1"/>
      <w:numFmt w:val="decimal"/>
      <w:lvlText w:val="%1."/>
      <w:lvlJc w:val="left"/>
      <w:pPr>
        <w:tabs>
          <w:tab w:val="left" w:pos="720"/>
        </w:tabs>
        <w:ind w:left="720" w:hanging="720"/>
      </w:pPr>
    </w:lvl>
    <w:lvl w:ilvl="1">
      <w:start w:val="1"/>
      <w:numFmt w:val="decimal"/>
      <w:pStyle w:val="AOHead2"/>
      <w:lvlText w:val="%1.%2"/>
      <w:lvlJc w:val="left"/>
      <w:pPr>
        <w:tabs>
          <w:tab w:val="left" w:pos="720"/>
        </w:tabs>
        <w:ind w:left="720" w:hanging="720"/>
      </w:pPr>
    </w:lvl>
    <w:lvl w:ilvl="2">
      <w:start w:val="1"/>
      <w:numFmt w:val="lowerLetter"/>
      <w:lvlText w:val="(%3)"/>
      <w:lvlJc w:val="left"/>
      <w:pPr>
        <w:tabs>
          <w:tab w:val="left" w:pos="1440"/>
        </w:tabs>
        <w:ind w:left="1440" w:hanging="720"/>
      </w:pPr>
    </w:lvl>
    <w:lvl w:ilvl="3">
      <w:start w:val="1"/>
      <w:numFmt w:val="lowerRoman"/>
      <w:lvlText w:val="(%4)"/>
      <w:lvlJc w:val="left"/>
      <w:pPr>
        <w:tabs>
          <w:tab w:val="left" w:pos="2160"/>
        </w:tabs>
        <w:ind w:left="2160" w:hanging="720"/>
      </w:pPr>
    </w:lvl>
    <w:lvl w:ilvl="4">
      <w:start w:val="1"/>
      <w:numFmt w:val="upperLetter"/>
      <w:lvlText w:val="(%5)"/>
      <w:lvlJc w:val="left"/>
      <w:pPr>
        <w:tabs>
          <w:tab w:val="left" w:pos="2880"/>
        </w:tabs>
        <w:ind w:left="2880" w:hanging="720"/>
      </w:pPr>
    </w:lvl>
    <w:lvl w:ilvl="5">
      <w:start w:val="1"/>
      <w:numFmt w:val="upperRoman"/>
      <w:lvlText w:val="%6."/>
      <w:lvlJc w:val="left"/>
      <w:pPr>
        <w:tabs>
          <w:tab w:val="left"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6191C870"/>
    <w:multiLevelType w:val="singleLevel"/>
    <w:tmpl w:val="6191C870"/>
    <w:lvl w:ilvl="0">
      <w:start w:val="1"/>
      <w:numFmt w:val="decimal"/>
      <w:suff w:val="nothing"/>
      <w:lvlText w:val="%1、"/>
      <w:lvlJc w:val="left"/>
      <w:rPr>
        <w:rFonts w:ascii="宋体" w:eastAsia="宋体" w:hAnsi="宋体" w:cs="Times New Roman"/>
      </w:rPr>
    </w:lvl>
  </w:abstractNum>
  <w:abstractNum w:abstractNumId="19" w15:restartNumberingAfterBreak="0">
    <w:nsid w:val="61AEF800"/>
    <w:multiLevelType w:val="singleLevel"/>
    <w:tmpl w:val="61AEF800"/>
    <w:lvl w:ilvl="0">
      <w:start w:val="2"/>
      <w:numFmt w:val="decimal"/>
      <w:suff w:val="nothing"/>
      <w:lvlText w:val="%1、"/>
      <w:lvlJc w:val="left"/>
    </w:lvl>
  </w:abstractNum>
  <w:abstractNum w:abstractNumId="20" w15:restartNumberingAfterBreak="0">
    <w:nsid w:val="62830D10"/>
    <w:multiLevelType w:val="multilevel"/>
    <w:tmpl w:val="62830D10"/>
    <w:lvl w:ilvl="0">
      <w:start w:val="1"/>
      <w:numFmt w:val="upperLetter"/>
      <w:pStyle w:val="AOA"/>
      <w:lvlText w:val="(%1)"/>
      <w:lvlJc w:val="left"/>
      <w:pPr>
        <w:tabs>
          <w:tab w:val="left"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1" w15:restartNumberingAfterBreak="0">
    <w:nsid w:val="65164B80"/>
    <w:multiLevelType w:val="multilevel"/>
    <w:tmpl w:val="65164B80"/>
    <w:lvl w:ilvl="0">
      <w:start w:val="3"/>
      <w:numFmt w:val="decimal"/>
      <w:pStyle w:val="1"/>
      <w:lvlText w:val="%1"/>
      <w:lvlJc w:val="left"/>
      <w:pPr>
        <w:tabs>
          <w:tab w:val="left" w:pos="3835"/>
        </w:tabs>
        <w:ind w:left="3835" w:hanging="432"/>
      </w:pPr>
      <w:rPr>
        <w:rFonts w:hint="eastAsia"/>
      </w:rPr>
    </w:lvl>
    <w:lvl w:ilvl="1">
      <w:start w:val="1"/>
      <w:numFmt w:val="decimal"/>
      <w:pStyle w:val="21"/>
      <w:lvlText w:val="%1.%2"/>
      <w:lvlJc w:val="left"/>
      <w:pPr>
        <w:tabs>
          <w:tab w:val="left" w:pos="1002"/>
        </w:tabs>
        <w:ind w:left="1002" w:hanging="576"/>
      </w:pPr>
      <w:rPr>
        <w:rFonts w:hint="eastAsia"/>
        <w:b/>
        <w:sz w:val="32"/>
        <w:szCs w:val="32"/>
      </w:rPr>
    </w:lvl>
    <w:lvl w:ilvl="2">
      <w:start w:val="1"/>
      <w:numFmt w:val="decimal"/>
      <w:pStyle w:val="3"/>
      <w:lvlText w:val="%1.%2.%3"/>
      <w:lvlJc w:val="left"/>
      <w:pPr>
        <w:tabs>
          <w:tab w:val="left" w:pos="720"/>
        </w:tabs>
        <w:ind w:left="720" w:hanging="720"/>
      </w:pPr>
      <w:rPr>
        <w:rFonts w:hint="eastAsia"/>
      </w:rPr>
    </w:lvl>
    <w:lvl w:ilvl="3">
      <w:start w:val="1"/>
      <w:numFmt w:val="decimal"/>
      <w:pStyle w:val="4"/>
      <w:lvlText w:val="%1.%2.%3.%4"/>
      <w:lvlJc w:val="left"/>
      <w:pPr>
        <w:tabs>
          <w:tab w:val="left" w:pos="864"/>
        </w:tabs>
        <w:ind w:left="864" w:hanging="864"/>
      </w:pPr>
      <w:rPr>
        <w:rFonts w:hint="eastAsia"/>
      </w:rPr>
    </w:lvl>
    <w:lvl w:ilvl="4">
      <w:start w:val="1"/>
      <w:numFmt w:val="decimal"/>
      <w:pStyle w:val="5"/>
      <w:lvlText w:val="%1.%2.%3.%4.%5"/>
      <w:lvlJc w:val="left"/>
      <w:pPr>
        <w:tabs>
          <w:tab w:val="left" w:pos="1008"/>
        </w:tabs>
        <w:ind w:left="1008" w:hanging="1008"/>
      </w:pPr>
      <w:rPr>
        <w:rFonts w:hint="eastAsia"/>
      </w:rPr>
    </w:lvl>
    <w:lvl w:ilvl="5">
      <w:start w:val="1"/>
      <w:numFmt w:val="decimal"/>
      <w:pStyle w:val="6"/>
      <w:lvlText w:val="%1.%2.%3.%4.%5.%6"/>
      <w:lvlJc w:val="left"/>
      <w:pPr>
        <w:tabs>
          <w:tab w:val="left" w:pos="1152"/>
        </w:tabs>
        <w:ind w:left="1152" w:hanging="1152"/>
      </w:pPr>
      <w:rPr>
        <w:rFonts w:hint="eastAsia"/>
      </w:rPr>
    </w:lvl>
    <w:lvl w:ilvl="6">
      <w:start w:val="1"/>
      <w:numFmt w:val="decimal"/>
      <w:pStyle w:val="7"/>
      <w:lvlText w:val="%1.%2.%3.%4.%5.%6.%7"/>
      <w:lvlJc w:val="left"/>
      <w:pPr>
        <w:tabs>
          <w:tab w:val="left" w:pos="1296"/>
        </w:tabs>
        <w:ind w:left="1296" w:hanging="1296"/>
      </w:pPr>
      <w:rPr>
        <w:rFonts w:hint="eastAsia"/>
      </w:rPr>
    </w:lvl>
    <w:lvl w:ilvl="7">
      <w:start w:val="1"/>
      <w:numFmt w:val="decimal"/>
      <w:pStyle w:val="8"/>
      <w:lvlText w:val="%1.%2.%3.%4.%5.%6.%7.%8"/>
      <w:lvlJc w:val="left"/>
      <w:pPr>
        <w:tabs>
          <w:tab w:val="left" w:pos="1440"/>
        </w:tabs>
        <w:ind w:left="1440" w:hanging="1440"/>
      </w:pPr>
      <w:rPr>
        <w:rFonts w:hint="eastAsia"/>
      </w:rPr>
    </w:lvl>
    <w:lvl w:ilvl="8">
      <w:start w:val="1"/>
      <w:numFmt w:val="decimal"/>
      <w:pStyle w:val="9"/>
      <w:lvlText w:val="%1.%2.%3.%4.%5.%6.%7.%8.%9"/>
      <w:lvlJc w:val="left"/>
      <w:pPr>
        <w:tabs>
          <w:tab w:val="left" w:pos="1584"/>
        </w:tabs>
        <w:ind w:left="1584" w:hanging="1584"/>
      </w:pPr>
      <w:rPr>
        <w:rFonts w:hint="eastAsia"/>
      </w:rPr>
    </w:lvl>
  </w:abstractNum>
  <w:abstractNum w:abstractNumId="22" w15:restartNumberingAfterBreak="0">
    <w:nsid w:val="6F025FAA"/>
    <w:multiLevelType w:val="multilevel"/>
    <w:tmpl w:val="6F025FAA"/>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left" w:pos="1440"/>
        </w:tabs>
        <w:ind w:left="1440" w:hanging="720"/>
      </w:pPr>
      <w:rPr>
        <w:rFonts w:ascii="Times New Roman" w:hAnsi="Times New Roman"/>
        <w:b w:val="0"/>
        <w:i w:val="0"/>
        <w:sz w:val="22"/>
      </w:rPr>
    </w:lvl>
    <w:lvl w:ilvl="3">
      <w:start w:val="1"/>
      <w:numFmt w:val="lowerRoman"/>
      <w:lvlText w:val="(%4)"/>
      <w:lvlJc w:val="left"/>
      <w:pPr>
        <w:tabs>
          <w:tab w:val="left" w:pos="1440"/>
        </w:tabs>
        <w:ind w:left="1440" w:hanging="720"/>
      </w:pPr>
      <w:rPr>
        <w:rFonts w:ascii="Times New Roman" w:hAnsi="Times New Roman"/>
        <w:b w:val="0"/>
        <w:i w:val="0"/>
        <w:sz w:val="22"/>
      </w:rPr>
    </w:lvl>
    <w:lvl w:ilvl="4">
      <w:start w:val="1"/>
      <w:numFmt w:val="lowerLetter"/>
      <w:lvlText w:val="(%5)"/>
      <w:lvlJc w:val="left"/>
      <w:pPr>
        <w:tabs>
          <w:tab w:val="left" w:pos="2160"/>
        </w:tabs>
        <w:ind w:left="2160" w:hanging="720"/>
      </w:pPr>
      <w:rPr>
        <w:rFonts w:ascii="Times New Roman" w:hAnsi="Times New Roman"/>
        <w:b w:val="0"/>
        <w:i w:val="0"/>
        <w:sz w:val="22"/>
      </w:rPr>
    </w:lvl>
    <w:lvl w:ilvl="5">
      <w:start w:val="1"/>
      <w:numFmt w:val="lowerRoman"/>
      <w:lvlText w:val="(%6)"/>
      <w:lvlJc w:val="left"/>
      <w:pPr>
        <w:tabs>
          <w:tab w:val="left" w:pos="2160"/>
        </w:tabs>
        <w:ind w:left="2160" w:hanging="720"/>
      </w:pPr>
      <w:rPr>
        <w:rFonts w:ascii="Times New Roman" w:hAnsi="Times New Roman"/>
        <w:b w:val="0"/>
        <w:i w:val="0"/>
        <w:sz w:val="22"/>
      </w:rPr>
    </w:lvl>
    <w:lvl w:ilvl="6">
      <w:start w:val="1"/>
      <w:numFmt w:val="upperLetter"/>
      <w:lvlText w:val="(%7)"/>
      <w:lvlJc w:val="left"/>
      <w:pPr>
        <w:tabs>
          <w:tab w:val="left" w:pos="2160"/>
        </w:tabs>
        <w:ind w:left="2160" w:hanging="720"/>
      </w:pPr>
    </w:lvl>
    <w:lvl w:ilvl="7">
      <w:start w:val="1"/>
      <w:numFmt w:val="decimal"/>
      <w:lvlText w:val="(%8)"/>
      <w:lvlJc w:val="left"/>
      <w:pPr>
        <w:tabs>
          <w:tab w:val="left" w:pos="1440"/>
        </w:tabs>
        <w:ind w:left="1440" w:hanging="720"/>
      </w:pPr>
      <w:rPr>
        <w:rFonts w:ascii="Times New Roman" w:hAnsi="Times New Roman"/>
        <w:b w:val="0"/>
        <w:i w:val="0"/>
        <w:sz w:val="22"/>
      </w:rPr>
    </w:lvl>
    <w:lvl w:ilvl="8">
      <w:start w:val="1"/>
      <w:numFmt w:val="decimal"/>
      <w:lvlText w:val="(%9)"/>
      <w:lvlJc w:val="left"/>
      <w:pPr>
        <w:tabs>
          <w:tab w:val="left" w:pos="2160"/>
        </w:tabs>
        <w:ind w:left="2160" w:hanging="720"/>
      </w:pPr>
      <w:rPr>
        <w:rFonts w:ascii="Times New Roman" w:hAnsi="Times New Roman"/>
        <w:b w:val="0"/>
        <w:i w:val="0"/>
        <w:sz w:val="22"/>
      </w:rPr>
    </w:lvl>
  </w:abstractNum>
  <w:abstractNum w:abstractNumId="23" w15:restartNumberingAfterBreak="0">
    <w:nsid w:val="6F8D3D7A"/>
    <w:multiLevelType w:val="singleLevel"/>
    <w:tmpl w:val="6F8D3D7A"/>
    <w:lvl w:ilvl="0">
      <w:start w:val="1"/>
      <w:numFmt w:val="bullet"/>
      <w:pStyle w:val="AOBullet3"/>
      <w:lvlText w:val=""/>
      <w:lvlJc w:val="left"/>
      <w:pPr>
        <w:tabs>
          <w:tab w:val="left" w:pos="720"/>
        </w:tabs>
        <w:ind w:left="720" w:hanging="720"/>
      </w:pPr>
      <w:rPr>
        <w:rFonts w:ascii="Symbol" w:hAnsi="Symbol" w:hint="default"/>
      </w:rPr>
    </w:lvl>
  </w:abstractNum>
  <w:abstractNum w:abstractNumId="24" w15:restartNumberingAfterBreak="0">
    <w:nsid w:val="761544F7"/>
    <w:multiLevelType w:val="multilevel"/>
    <w:tmpl w:val="761544F7"/>
    <w:lvl w:ilvl="0">
      <w:start w:val="1"/>
      <w:numFmt w:val="decimal"/>
      <w:pStyle w:val="AOGenNum1"/>
      <w:lvlText w:val="%1."/>
      <w:lvlJc w:val="left"/>
      <w:pPr>
        <w:tabs>
          <w:tab w:val="left" w:pos="720"/>
        </w:tabs>
        <w:ind w:left="720" w:hanging="720"/>
      </w:pPr>
    </w:lvl>
    <w:lvl w:ilvl="1">
      <w:start w:val="1"/>
      <w:numFmt w:val="decimal"/>
      <w:pStyle w:val="AOGenNum1Para"/>
      <w:lvlText w:val="%1.%2"/>
      <w:lvlJc w:val="left"/>
      <w:pPr>
        <w:tabs>
          <w:tab w:val="left" w:pos="720"/>
        </w:tabs>
        <w:ind w:left="720" w:hanging="720"/>
      </w:pPr>
    </w:lvl>
    <w:lvl w:ilvl="2">
      <w:start w:val="1"/>
      <w:numFmt w:val="lowerLetter"/>
      <w:pStyle w:val="AOGenNum1List"/>
      <w:lvlText w:val="(%3)"/>
      <w:lvlJc w:val="left"/>
      <w:pPr>
        <w:tabs>
          <w:tab w:val="left" w:pos="720"/>
        </w:tabs>
        <w:ind w:left="720" w:hanging="720"/>
      </w:pPr>
    </w:lvl>
    <w:lvl w:ilvl="3">
      <w:start w:val="1"/>
      <w:numFmt w:val="lowerLetter"/>
      <w:lvlText w:val="(%4)"/>
      <w:lvlJc w:val="left"/>
      <w:pPr>
        <w:tabs>
          <w:tab w:val="left" w:pos="1440"/>
        </w:tabs>
        <w:ind w:left="1440" w:hanging="720"/>
      </w:pPr>
    </w:lvl>
    <w:lvl w:ilvl="4">
      <w:start w:val="1"/>
      <w:numFmt w:val="lowerRoman"/>
      <w:lvlText w:val="(%5)"/>
      <w:lvlJc w:val="left"/>
      <w:pPr>
        <w:tabs>
          <w:tab w:val="left" w:pos="1440"/>
        </w:tabs>
        <w:ind w:left="1440" w:hanging="720"/>
      </w:pPr>
    </w:lvl>
    <w:lvl w:ilvl="5">
      <w:start w:val="1"/>
      <w:numFmt w:val="lowerRoman"/>
      <w:lvlText w:val="(%6)"/>
      <w:lvlJc w:val="left"/>
      <w:pPr>
        <w:tabs>
          <w:tab w:val="left" w:pos="2160"/>
        </w:tabs>
        <w:ind w:left="2160" w:hanging="720"/>
      </w:pPr>
    </w:lvl>
    <w:lvl w:ilvl="6">
      <w:start w:val="1"/>
      <w:numFmt w:val="upperLetter"/>
      <w:lvlText w:val="(%7)"/>
      <w:lvlJc w:val="left"/>
      <w:pPr>
        <w:tabs>
          <w:tab w:val="left" w:pos="2160"/>
        </w:tabs>
        <w:ind w:left="2160" w:hanging="720"/>
      </w:pPr>
    </w:lvl>
    <w:lvl w:ilvl="7">
      <w:start w:val="1"/>
      <w:numFmt w:val="upperLetter"/>
      <w:lvlText w:val="(%8)"/>
      <w:lvlJc w:val="left"/>
      <w:pPr>
        <w:tabs>
          <w:tab w:val="left" w:pos="2880"/>
        </w:tabs>
        <w:ind w:left="2880" w:hanging="720"/>
      </w:pPr>
    </w:lvl>
    <w:lvl w:ilvl="8">
      <w:start w:val="1"/>
      <w:numFmt w:val="upperRoman"/>
      <w:lvlText w:val="%9."/>
      <w:lvlJc w:val="left"/>
      <w:pPr>
        <w:tabs>
          <w:tab w:val="left" w:pos="3600"/>
        </w:tabs>
        <w:ind w:left="3600" w:hanging="720"/>
      </w:pPr>
    </w:lvl>
  </w:abstractNum>
  <w:abstractNum w:abstractNumId="25" w15:restartNumberingAfterBreak="0">
    <w:nsid w:val="7C6B7662"/>
    <w:multiLevelType w:val="multilevel"/>
    <w:tmpl w:val="7C6B7662"/>
    <w:lvl w:ilvl="0">
      <w:start w:val="1"/>
      <w:numFmt w:val="chineseCountingThousand"/>
      <w:lvlText w:val="第%1部分"/>
      <w:lvlJc w:val="left"/>
      <w:pPr>
        <w:ind w:left="420" w:hanging="420"/>
      </w:pPr>
      <w:rPr>
        <w:rFonts w:hint="default"/>
        <w:sz w:val="32"/>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1"/>
  </w:num>
  <w:num w:numId="2">
    <w:abstractNumId w:val="3"/>
  </w:num>
  <w:num w:numId="3">
    <w:abstractNumId w:val="8"/>
  </w:num>
  <w:num w:numId="4">
    <w:abstractNumId w:val="13"/>
  </w:num>
  <w:num w:numId="5">
    <w:abstractNumId w:val="11"/>
  </w:num>
  <w:num w:numId="6">
    <w:abstractNumId w:val="20"/>
  </w:num>
  <w:num w:numId="7">
    <w:abstractNumId w:val="17"/>
  </w:num>
  <w:num w:numId="8">
    <w:abstractNumId w:val="5"/>
  </w:num>
  <w:num w:numId="9">
    <w:abstractNumId w:val="15"/>
  </w:num>
  <w:num w:numId="10">
    <w:abstractNumId w:val="24"/>
  </w:num>
  <w:num w:numId="11">
    <w:abstractNumId w:val="10"/>
  </w:num>
  <w:num w:numId="12">
    <w:abstractNumId w:val="12"/>
  </w:num>
  <w:num w:numId="13">
    <w:abstractNumId w:val="22"/>
  </w:num>
  <w:num w:numId="14">
    <w:abstractNumId w:val="16"/>
  </w:num>
  <w:num w:numId="15">
    <w:abstractNumId w:val="4"/>
  </w:num>
  <w:num w:numId="16">
    <w:abstractNumId w:val="7"/>
  </w:num>
  <w:num w:numId="17">
    <w:abstractNumId w:val="6"/>
  </w:num>
  <w:num w:numId="18">
    <w:abstractNumId w:val="0"/>
  </w:num>
  <w:num w:numId="19">
    <w:abstractNumId w:val="1"/>
  </w:num>
  <w:num w:numId="20">
    <w:abstractNumId w:val="9"/>
  </w:num>
  <w:num w:numId="21">
    <w:abstractNumId w:val="14"/>
  </w:num>
  <w:num w:numId="22">
    <w:abstractNumId w:val="23"/>
  </w:num>
  <w:num w:numId="23">
    <w:abstractNumId w:val="2"/>
  </w:num>
  <w:num w:numId="24">
    <w:abstractNumId w:val="25"/>
  </w:num>
  <w:num w:numId="25">
    <w:abstractNumId w:val="19"/>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877B5A2E"/>
    <w:rsid w:val="9CEA6C66"/>
    <w:rsid w:val="9F7EDDD8"/>
    <w:rsid w:val="9FE793D9"/>
    <w:rsid w:val="AF7FA5C3"/>
    <w:rsid w:val="B7D4A588"/>
    <w:rsid w:val="BDA6765C"/>
    <w:rsid w:val="BF6F6F57"/>
    <w:rsid w:val="CCB733D0"/>
    <w:rsid w:val="DBAF4F7A"/>
    <w:rsid w:val="E5EF8969"/>
    <w:rsid w:val="EEFB7180"/>
    <w:rsid w:val="EF7FF283"/>
    <w:rsid w:val="F4F6665E"/>
    <w:rsid w:val="F73F5525"/>
    <w:rsid w:val="F7FC2FF9"/>
    <w:rsid w:val="F86E7F40"/>
    <w:rsid w:val="FDF77F77"/>
    <w:rsid w:val="FE7927B0"/>
    <w:rsid w:val="FEF78EEE"/>
    <w:rsid w:val="FF7D64A1"/>
    <w:rsid w:val="FFFF0408"/>
    <w:rsid w:val="0000007D"/>
    <w:rsid w:val="000012EE"/>
    <w:rsid w:val="0000194E"/>
    <w:rsid w:val="000035CD"/>
    <w:rsid w:val="00004EB8"/>
    <w:rsid w:val="000061A8"/>
    <w:rsid w:val="0001071F"/>
    <w:rsid w:val="00011375"/>
    <w:rsid w:val="0001138D"/>
    <w:rsid w:val="00012282"/>
    <w:rsid w:val="000134ED"/>
    <w:rsid w:val="00013ACE"/>
    <w:rsid w:val="00014F0E"/>
    <w:rsid w:val="000161BC"/>
    <w:rsid w:val="00017BCB"/>
    <w:rsid w:val="00022B7E"/>
    <w:rsid w:val="00023717"/>
    <w:rsid w:val="0002574A"/>
    <w:rsid w:val="00025D1C"/>
    <w:rsid w:val="0002628C"/>
    <w:rsid w:val="000309F1"/>
    <w:rsid w:val="00030EDB"/>
    <w:rsid w:val="00031D5E"/>
    <w:rsid w:val="0003219A"/>
    <w:rsid w:val="00032F65"/>
    <w:rsid w:val="00033024"/>
    <w:rsid w:val="000331F4"/>
    <w:rsid w:val="00033415"/>
    <w:rsid w:val="000341A9"/>
    <w:rsid w:val="00034458"/>
    <w:rsid w:val="000344B5"/>
    <w:rsid w:val="000362CB"/>
    <w:rsid w:val="0003631F"/>
    <w:rsid w:val="000367F8"/>
    <w:rsid w:val="00036D49"/>
    <w:rsid w:val="00037799"/>
    <w:rsid w:val="00037FDA"/>
    <w:rsid w:val="000407F2"/>
    <w:rsid w:val="00041A25"/>
    <w:rsid w:val="00042296"/>
    <w:rsid w:val="00042A52"/>
    <w:rsid w:val="00045A71"/>
    <w:rsid w:val="00046508"/>
    <w:rsid w:val="00046F0B"/>
    <w:rsid w:val="00047842"/>
    <w:rsid w:val="00047ECA"/>
    <w:rsid w:val="00050C04"/>
    <w:rsid w:val="00050C85"/>
    <w:rsid w:val="0005164D"/>
    <w:rsid w:val="00051A68"/>
    <w:rsid w:val="00052E78"/>
    <w:rsid w:val="00053E8F"/>
    <w:rsid w:val="00054CCB"/>
    <w:rsid w:val="00055ABC"/>
    <w:rsid w:val="00056764"/>
    <w:rsid w:val="000572C0"/>
    <w:rsid w:val="000604CF"/>
    <w:rsid w:val="00060F50"/>
    <w:rsid w:val="000616AB"/>
    <w:rsid w:val="0006276E"/>
    <w:rsid w:val="00062DAD"/>
    <w:rsid w:val="000632F1"/>
    <w:rsid w:val="0006337C"/>
    <w:rsid w:val="000679FE"/>
    <w:rsid w:val="00070129"/>
    <w:rsid w:val="00071053"/>
    <w:rsid w:val="00071735"/>
    <w:rsid w:val="00071AE6"/>
    <w:rsid w:val="00073C7C"/>
    <w:rsid w:val="00074DDC"/>
    <w:rsid w:val="0007554A"/>
    <w:rsid w:val="00075586"/>
    <w:rsid w:val="00075DD9"/>
    <w:rsid w:val="00075EB7"/>
    <w:rsid w:val="00075EE3"/>
    <w:rsid w:val="0007676A"/>
    <w:rsid w:val="00077F39"/>
    <w:rsid w:val="00080172"/>
    <w:rsid w:val="00080F3C"/>
    <w:rsid w:val="00081AA0"/>
    <w:rsid w:val="00082306"/>
    <w:rsid w:val="000827B3"/>
    <w:rsid w:val="0008287A"/>
    <w:rsid w:val="00082939"/>
    <w:rsid w:val="000836FB"/>
    <w:rsid w:val="00083EC3"/>
    <w:rsid w:val="00084216"/>
    <w:rsid w:val="00084EDD"/>
    <w:rsid w:val="00085483"/>
    <w:rsid w:val="000855A5"/>
    <w:rsid w:val="000858A7"/>
    <w:rsid w:val="000864AD"/>
    <w:rsid w:val="00087596"/>
    <w:rsid w:val="00090010"/>
    <w:rsid w:val="00090A92"/>
    <w:rsid w:val="00090DFA"/>
    <w:rsid w:val="000915EE"/>
    <w:rsid w:val="000923B0"/>
    <w:rsid w:val="00092E7E"/>
    <w:rsid w:val="00093648"/>
    <w:rsid w:val="00093F87"/>
    <w:rsid w:val="00095714"/>
    <w:rsid w:val="00096B14"/>
    <w:rsid w:val="00096D5E"/>
    <w:rsid w:val="000970A6"/>
    <w:rsid w:val="00097413"/>
    <w:rsid w:val="00097E66"/>
    <w:rsid w:val="000A0525"/>
    <w:rsid w:val="000A09E2"/>
    <w:rsid w:val="000A0E4E"/>
    <w:rsid w:val="000A2DF9"/>
    <w:rsid w:val="000A4C2D"/>
    <w:rsid w:val="000A67D1"/>
    <w:rsid w:val="000A7467"/>
    <w:rsid w:val="000B0139"/>
    <w:rsid w:val="000B0866"/>
    <w:rsid w:val="000B181D"/>
    <w:rsid w:val="000B1B34"/>
    <w:rsid w:val="000B2734"/>
    <w:rsid w:val="000B37B0"/>
    <w:rsid w:val="000B402F"/>
    <w:rsid w:val="000B435F"/>
    <w:rsid w:val="000B4E48"/>
    <w:rsid w:val="000B6518"/>
    <w:rsid w:val="000B7468"/>
    <w:rsid w:val="000B76D9"/>
    <w:rsid w:val="000C0360"/>
    <w:rsid w:val="000C03F8"/>
    <w:rsid w:val="000C0B48"/>
    <w:rsid w:val="000C0C5D"/>
    <w:rsid w:val="000C3303"/>
    <w:rsid w:val="000C389F"/>
    <w:rsid w:val="000C397F"/>
    <w:rsid w:val="000C4795"/>
    <w:rsid w:val="000C5603"/>
    <w:rsid w:val="000C5A61"/>
    <w:rsid w:val="000C5B98"/>
    <w:rsid w:val="000C6105"/>
    <w:rsid w:val="000C7BB6"/>
    <w:rsid w:val="000D1547"/>
    <w:rsid w:val="000D221E"/>
    <w:rsid w:val="000D309B"/>
    <w:rsid w:val="000D383B"/>
    <w:rsid w:val="000D3B4F"/>
    <w:rsid w:val="000D5344"/>
    <w:rsid w:val="000D5569"/>
    <w:rsid w:val="000D6099"/>
    <w:rsid w:val="000D6DAF"/>
    <w:rsid w:val="000D77D7"/>
    <w:rsid w:val="000D7888"/>
    <w:rsid w:val="000E0188"/>
    <w:rsid w:val="000E12E8"/>
    <w:rsid w:val="000E14EB"/>
    <w:rsid w:val="000E15F7"/>
    <w:rsid w:val="000E2061"/>
    <w:rsid w:val="000E367E"/>
    <w:rsid w:val="000E4C8F"/>
    <w:rsid w:val="000E4E32"/>
    <w:rsid w:val="000E4F80"/>
    <w:rsid w:val="000E5B5B"/>
    <w:rsid w:val="000E7FF3"/>
    <w:rsid w:val="000F0BFF"/>
    <w:rsid w:val="000F107E"/>
    <w:rsid w:val="000F129B"/>
    <w:rsid w:val="000F1436"/>
    <w:rsid w:val="000F2E6A"/>
    <w:rsid w:val="000F2F83"/>
    <w:rsid w:val="000F2FB4"/>
    <w:rsid w:val="000F301E"/>
    <w:rsid w:val="000F3972"/>
    <w:rsid w:val="000F3F9E"/>
    <w:rsid w:val="000F4E5F"/>
    <w:rsid w:val="000F5521"/>
    <w:rsid w:val="000F5B9B"/>
    <w:rsid w:val="000F601D"/>
    <w:rsid w:val="000F609C"/>
    <w:rsid w:val="000F6434"/>
    <w:rsid w:val="000F7135"/>
    <w:rsid w:val="000F78A9"/>
    <w:rsid w:val="00101700"/>
    <w:rsid w:val="001017C0"/>
    <w:rsid w:val="0010265B"/>
    <w:rsid w:val="00103130"/>
    <w:rsid w:val="00103262"/>
    <w:rsid w:val="00103EA3"/>
    <w:rsid w:val="001051E0"/>
    <w:rsid w:val="00107DBF"/>
    <w:rsid w:val="00107EAE"/>
    <w:rsid w:val="001105A5"/>
    <w:rsid w:val="00112DF7"/>
    <w:rsid w:val="00113146"/>
    <w:rsid w:val="00113CBA"/>
    <w:rsid w:val="001142E3"/>
    <w:rsid w:val="00114759"/>
    <w:rsid w:val="001149BB"/>
    <w:rsid w:val="00116669"/>
    <w:rsid w:val="001217B5"/>
    <w:rsid w:val="001221C8"/>
    <w:rsid w:val="00122793"/>
    <w:rsid w:val="0012304D"/>
    <w:rsid w:val="00123DB3"/>
    <w:rsid w:val="001252EF"/>
    <w:rsid w:val="0012572E"/>
    <w:rsid w:val="0012575D"/>
    <w:rsid w:val="00126489"/>
    <w:rsid w:val="00126936"/>
    <w:rsid w:val="00126996"/>
    <w:rsid w:val="00126BCC"/>
    <w:rsid w:val="00126F65"/>
    <w:rsid w:val="001273D9"/>
    <w:rsid w:val="001278A5"/>
    <w:rsid w:val="00127DE7"/>
    <w:rsid w:val="00127FDB"/>
    <w:rsid w:val="00130DD7"/>
    <w:rsid w:val="00130E8A"/>
    <w:rsid w:val="00130F32"/>
    <w:rsid w:val="00132F63"/>
    <w:rsid w:val="00132FD0"/>
    <w:rsid w:val="00133824"/>
    <w:rsid w:val="0013475C"/>
    <w:rsid w:val="001359C5"/>
    <w:rsid w:val="00135D67"/>
    <w:rsid w:val="0013616D"/>
    <w:rsid w:val="00136C80"/>
    <w:rsid w:val="001376D7"/>
    <w:rsid w:val="00140956"/>
    <w:rsid w:val="00140D3E"/>
    <w:rsid w:val="0014129B"/>
    <w:rsid w:val="001412EF"/>
    <w:rsid w:val="001412F7"/>
    <w:rsid w:val="00141B59"/>
    <w:rsid w:val="00141CD3"/>
    <w:rsid w:val="00142B6F"/>
    <w:rsid w:val="00143E69"/>
    <w:rsid w:val="00144520"/>
    <w:rsid w:val="00145435"/>
    <w:rsid w:val="00145A22"/>
    <w:rsid w:val="00145D03"/>
    <w:rsid w:val="00145E30"/>
    <w:rsid w:val="00147F43"/>
    <w:rsid w:val="00150B17"/>
    <w:rsid w:val="00151E19"/>
    <w:rsid w:val="00152653"/>
    <w:rsid w:val="001532D8"/>
    <w:rsid w:val="0015359C"/>
    <w:rsid w:val="00154C26"/>
    <w:rsid w:val="00155B5C"/>
    <w:rsid w:val="00156096"/>
    <w:rsid w:val="001562E4"/>
    <w:rsid w:val="001564F1"/>
    <w:rsid w:val="00156D05"/>
    <w:rsid w:val="00156DD6"/>
    <w:rsid w:val="00156F73"/>
    <w:rsid w:val="00157D55"/>
    <w:rsid w:val="00160533"/>
    <w:rsid w:val="00160784"/>
    <w:rsid w:val="00160F2D"/>
    <w:rsid w:val="00160FA1"/>
    <w:rsid w:val="001617DD"/>
    <w:rsid w:val="00162218"/>
    <w:rsid w:val="00162AA2"/>
    <w:rsid w:val="001635E8"/>
    <w:rsid w:val="00163C64"/>
    <w:rsid w:val="00164340"/>
    <w:rsid w:val="00165E02"/>
    <w:rsid w:val="0016604C"/>
    <w:rsid w:val="00167A87"/>
    <w:rsid w:val="00170FB2"/>
    <w:rsid w:val="0017243D"/>
    <w:rsid w:val="00172A27"/>
    <w:rsid w:val="00172CB1"/>
    <w:rsid w:val="0017442A"/>
    <w:rsid w:val="001761C5"/>
    <w:rsid w:val="00176218"/>
    <w:rsid w:val="00176245"/>
    <w:rsid w:val="0017635A"/>
    <w:rsid w:val="001763C3"/>
    <w:rsid w:val="001763CA"/>
    <w:rsid w:val="00176F31"/>
    <w:rsid w:val="00182B08"/>
    <w:rsid w:val="00182E1D"/>
    <w:rsid w:val="00184ADE"/>
    <w:rsid w:val="00184BF3"/>
    <w:rsid w:val="00184C17"/>
    <w:rsid w:val="001853C2"/>
    <w:rsid w:val="00185DF0"/>
    <w:rsid w:val="00186A33"/>
    <w:rsid w:val="00186B4B"/>
    <w:rsid w:val="00186F3C"/>
    <w:rsid w:val="00187902"/>
    <w:rsid w:val="0019043C"/>
    <w:rsid w:val="00190B8C"/>
    <w:rsid w:val="001921E6"/>
    <w:rsid w:val="00192A1C"/>
    <w:rsid w:val="001931A0"/>
    <w:rsid w:val="00196F9E"/>
    <w:rsid w:val="001A029C"/>
    <w:rsid w:val="001A0E8E"/>
    <w:rsid w:val="001A280B"/>
    <w:rsid w:val="001A38FC"/>
    <w:rsid w:val="001A3C7C"/>
    <w:rsid w:val="001A42B7"/>
    <w:rsid w:val="001A58CE"/>
    <w:rsid w:val="001A642D"/>
    <w:rsid w:val="001A7127"/>
    <w:rsid w:val="001A7A80"/>
    <w:rsid w:val="001A7F6D"/>
    <w:rsid w:val="001B0101"/>
    <w:rsid w:val="001B0625"/>
    <w:rsid w:val="001B06F2"/>
    <w:rsid w:val="001B0A81"/>
    <w:rsid w:val="001B0FBB"/>
    <w:rsid w:val="001B1875"/>
    <w:rsid w:val="001B242A"/>
    <w:rsid w:val="001B2432"/>
    <w:rsid w:val="001B2992"/>
    <w:rsid w:val="001B3510"/>
    <w:rsid w:val="001B3E8E"/>
    <w:rsid w:val="001B4976"/>
    <w:rsid w:val="001B52AC"/>
    <w:rsid w:val="001B52FA"/>
    <w:rsid w:val="001B5738"/>
    <w:rsid w:val="001B5B78"/>
    <w:rsid w:val="001B601C"/>
    <w:rsid w:val="001B6069"/>
    <w:rsid w:val="001B6A2C"/>
    <w:rsid w:val="001C2750"/>
    <w:rsid w:val="001C2F38"/>
    <w:rsid w:val="001C3148"/>
    <w:rsid w:val="001C36D0"/>
    <w:rsid w:val="001C379C"/>
    <w:rsid w:val="001C3D9B"/>
    <w:rsid w:val="001C5386"/>
    <w:rsid w:val="001C6DF4"/>
    <w:rsid w:val="001C77E9"/>
    <w:rsid w:val="001D1B2B"/>
    <w:rsid w:val="001D4773"/>
    <w:rsid w:val="001D5CE6"/>
    <w:rsid w:val="001D5DB1"/>
    <w:rsid w:val="001D5E86"/>
    <w:rsid w:val="001D6891"/>
    <w:rsid w:val="001D7AD1"/>
    <w:rsid w:val="001D7B4F"/>
    <w:rsid w:val="001D7EE6"/>
    <w:rsid w:val="001E0DC0"/>
    <w:rsid w:val="001E11E3"/>
    <w:rsid w:val="001E1EE5"/>
    <w:rsid w:val="001E2530"/>
    <w:rsid w:val="001E2736"/>
    <w:rsid w:val="001E31BD"/>
    <w:rsid w:val="001E5CCE"/>
    <w:rsid w:val="001E6B55"/>
    <w:rsid w:val="001F007B"/>
    <w:rsid w:val="001F0A6E"/>
    <w:rsid w:val="001F0D63"/>
    <w:rsid w:val="001F10AA"/>
    <w:rsid w:val="001F2478"/>
    <w:rsid w:val="001F32D5"/>
    <w:rsid w:val="001F35E5"/>
    <w:rsid w:val="001F3AA8"/>
    <w:rsid w:val="001F3D6F"/>
    <w:rsid w:val="00201FE6"/>
    <w:rsid w:val="00202BB7"/>
    <w:rsid w:val="0020376F"/>
    <w:rsid w:val="002039ED"/>
    <w:rsid w:val="0020491B"/>
    <w:rsid w:val="002056BA"/>
    <w:rsid w:val="00205EEC"/>
    <w:rsid w:val="00206B87"/>
    <w:rsid w:val="00207EFD"/>
    <w:rsid w:val="00207F6B"/>
    <w:rsid w:val="00210082"/>
    <w:rsid w:val="0021119A"/>
    <w:rsid w:val="0021198D"/>
    <w:rsid w:val="002120D9"/>
    <w:rsid w:val="0021292C"/>
    <w:rsid w:val="00216B5B"/>
    <w:rsid w:val="00216F47"/>
    <w:rsid w:val="002203A8"/>
    <w:rsid w:val="00221D00"/>
    <w:rsid w:val="00222A15"/>
    <w:rsid w:val="00224C73"/>
    <w:rsid w:val="00224F43"/>
    <w:rsid w:val="0022560D"/>
    <w:rsid w:val="00225681"/>
    <w:rsid w:val="002259B7"/>
    <w:rsid w:val="00225B29"/>
    <w:rsid w:val="00226113"/>
    <w:rsid w:val="00226508"/>
    <w:rsid w:val="00227585"/>
    <w:rsid w:val="00230049"/>
    <w:rsid w:val="00230176"/>
    <w:rsid w:val="00230339"/>
    <w:rsid w:val="00231A6F"/>
    <w:rsid w:val="00231DE7"/>
    <w:rsid w:val="0023217D"/>
    <w:rsid w:val="00232295"/>
    <w:rsid w:val="002354EE"/>
    <w:rsid w:val="00235546"/>
    <w:rsid w:val="002360CA"/>
    <w:rsid w:val="002364FB"/>
    <w:rsid w:val="002401AC"/>
    <w:rsid w:val="002422D1"/>
    <w:rsid w:val="0024252B"/>
    <w:rsid w:val="00243289"/>
    <w:rsid w:val="0024379D"/>
    <w:rsid w:val="0024719A"/>
    <w:rsid w:val="00247AA2"/>
    <w:rsid w:val="002520E5"/>
    <w:rsid w:val="00252598"/>
    <w:rsid w:val="00252ED9"/>
    <w:rsid w:val="002539D8"/>
    <w:rsid w:val="00254C6F"/>
    <w:rsid w:val="002552E7"/>
    <w:rsid w:val="00260096"/>
    <w:rsid w:val="002613CE"/>
    <w:rsid w:val="00262246"/>
    <w:rsid w:val="002625FB"/>
    <w:rsid w:val="0026352C"/>
    <w:rsid w:val="00263703"/>
    <w:rsid w:val="00264D9B"/>
    <w:rsid w:val="00265B1A"/>
    <w:rsid w:val="00265DC0"/>
    <w:rsid w:val="00266B1D"/>
    <w:rsid w:val="00267E0D"/>
    <w:rsid w:val="0027070C"/>
    <w:rsid w:val="0027147E"/>
    <w:rsid w:val="00271C69"/>
    <w:rsid w:val="002721FA"/>
    <w:rsid w:val="00272485"/>
    <w:rsid w:val="002724B6"/>
    <w:rsid w:val="00272612"/>
    <w:rsid w:val="00272652"/>
    <w:rsid w:val="00273766"/>
    <w:rsid w:val="00274921"/>
    <w:rsid w:val="0027544C"/>
    <w:rsid w:val="002755C4"/>
    <w:rsid w:val="0027584C"/>
    <w:rsid w:val="0027646C"/>
    <w:rsid w:val="00276496"/>
    <w:rsid w:val="00277369"/>
    <w:rsid w:val="00277413"/>
    <w:rsid w:val="00277643"/>
    <w:rsid w:val="0028068C"/>
    <w:rsid w:val="002806A5"/>
    <w:rsid w:val="00280728"/>
    <w:rsid w:val="002810D4"/>
    <w:rsid w:val="00281746"/>
    <w:rsid w:val="00282FE1"/>
    <w:rsid w:val="0028339A"/>
    <w:rsid w:val="002834BC"/>
    <w:rsid w:val="00284465"/>
    <w:rsid w:val="0028462B"/>
    <w:rsid w:val="0028484A"/>
    <w:rsid w:val="002852E6"/>
    <w:rsid w:val="00286337"/>
    <w:rsid w:val="0028744B"/>
    <w:rsid w:val="00290A69"/>
    <w:rsid w:val="00290D3C"/>
    <w:rsid w:val="0029115B"/>
    <w:rsid w:val="00292CA7"/>
    <w:rsid w:val="00293457"/>
    <w:rsid w:val="002936FE"/>
    <w:rsid w:val="00294D08"/>
    <w:rsid w:val="00295021"/>
    <w:rsid w:val="002950D6"/>
    <w:rsid w:val="00296FFA"/>
    <w:rsid w:val="00297678"/>
    <w:rsid w:val="00297D2A"/>
    <w:rsid w:val="00297E3A"/>
    <w:rsid w:val="00297FDF"/>
    <w:rsid w:val="002A0009"/>
    <w:rsid w:val="002A0AB2"/>
    <w:rsid w:val="002A0C07"/>
    <w:rsid w:val="002A0CBD"/>
    <w:rsid w:val="002A13FC"/>
    <w:rsid w:val="002A1807"/>
    <w:rsid w:val="002A1849"/>
    <w:rsid w:val="002A1C67"/>
    <w:rsid w:val="002A2B4F"/>
    <w:rsid w:val="002A3072"/>
    <w:rsid w:val="002A34B3"/>
    <w:rsid w:val="002A51AD"/>
    <w:rsid w:val="002A68AE"/>
    <w:rsid w:val="002A6FE4"/>
    <w:rsid w:val="002A785F"/>
    <w:rsid w:val="002A7B35"/>
    <w:rsid w:val="002B09F0"/>
    <w:rsid w:val="002B0BFE"/>
    <w:rsid w:val="002B181B"/>
    <w:rsid w:val="002B2153"/>
    <w:rsid w:val="002B25C4"/>
    <w:rsid w:val="002B3A8E"/>
    <w:rsid w:val="002B3CCC"/>
    <w:rsid w:val="002B4556"/>
    <w:rsid w:val="002B5576"/>
    <w:rsid w:val="002B5B43"/>
    <w:rsid w:val="002C240E"/>
    <w:rsid w:val="002C348A"/>
    <w:rsid w:val="002C3550"/>
    <w:rsid w:val="002C3CFE"/>
    <w:rsid w:val="002C4261"/>
    <w:rsid w:val="002C4A8E"/>
    <w:rsid w:val="002C71EA"/>
    <w:rsid w:val="002C75A4"/>
    <w:rsid w:val="002C7E85"/>
    <w:rsid w:val="002D02F6"/>
    <w:rsid w:val="002D0DDE"/>
    <w:rsid w:val="002D12DE"/>
    <w:rsid w:val="002D1F80"/>
    <w:rsid w:val="002D2183"/>
    <w:rsid w:val="002D2884"/>
    <w:rsid w:val="002D2C43"/>
    <w:rsid w:val="002D3030"/>
    <w:rsid w:val="002D481A"/>
    <w:rsid w:val="002D48F6"/>
    <w:rsid w:val="002D4A9C"/>
    <w:rsid w:val="002D55E4"/>
    <w:rsid w:val="002D5C60"/>
    <w:rsid w:val="002D6D7D"/>
    <w:rsid w:val="002D7937"/>
    <w:rsid w:val="002E2245"/>
    <w:rsid w:val="002E32A2"/>
    <w:rsid w:val="002E4A67"/>
    <w:rsid w:val="002E53F2"/>
    <w:rsid w:val="002E548C"/>
    <w:rsid w:val="002E5824"/>
    <w:rsid w:val="002E608B"/>
    <w:rsid w:val="002E6BA6"/>
    <w:rsid w:val="002E755D"/>
    <w:rsid w:val="002E7AFA"/>
    <w:rsid w:val="002F02A0"/>
    <w:rsid w:val="002F1715"/>
    <w:rsid w:val="002F2469"/>
    <w:rsid w:val="002F365D"/>
    <w:rsid w:val="002F395D"/>
    <w:rsid w:val="002F3F02"/>
    <w:rsid w:val="002F4B9D"/>
    <w:rsid w:val="002F4F96"/>
    <w:rsid w:val="002F5210"/>
    <w:rsid w:val="002F6C87"/>
    <w:rsid w:val="003015F5"/>
    <w:rsid w:val="00302346"/>
    <w:rsid w:val="00302CEE"/>
    <w:rsid w:val="0030394A"/>
    <w:rsid w:val="003049AB"/>
    <w:rsid w:val="00304A17"/>
    <w:rsid w:val="00304B3A"/>
    <w:rsid w:val="0030548D"/>
    <w:rsid w:val="003057AE"/>
    <w:rsid w:val="0030625C"/>
    <w:rsid w:val="003065D3"/>
    <w:rsid w:val="00307493"/>
    <w:rsid w:val="00307D90"/>
    <w:rsid w:val="00310C20"/>
    <w:rsid w:val="00311450"/>
    <w:rsid w:val="0031152C"/>
    <w:rsid w:val="003124B5"/>
    <w:rsid w:val="00312B2D"/>
    <w:rsid w:val="0031302F"/>
    <w:rsid w:val="00314246"/>
    <w:rsid w:val="003143CC"/>
    <w:rsid w:val="00314CBD"/>
    <w:rsid w:val="003150BB"/>
    <w:rsid w:val="00315453"/>
    <w:rsid w:val="003163B3"/>
    <w:rsid w:val="00317D9D"/>
    <w:rsid w:val="003205D7"/>
    <w:rsid w:val="00320F7A"/>
    <w:rsid w:val="003210C4"/>
    <w:rsid w:val="0032171E"/>
    <w:rsid w:val="0032371A"/>
    <w:rsid w:val="00323864"/>
    <w:rsid w:val="003239A8"/>
    <w:rsid w:val="00323DF1"/>
    <w:rsid w:val="00324EA0"/>
    <w:rsid w:val="0032549B"/>
    <w:rsid w:val="00327374"/>
    <w:rsid w:val="00330269"/>
    <w:rsid w:val="00330A60"/>
    <w:rsid w:val="00331243"/>
    <w:rsid w:val="0033131A"/>
    <w:rsid w:val="00331514"/>
    <w:rsid w:val="00331DEC"/>
    <w:rsid w:val="00332445"/>
    <w:rsid w:val="00332C2B"/>
    <w:rsid w:val="00332E91"/>
    <w:rsid w:val="0033396A"/>
    <w:rsid w:val="003340DD"/>
    <w:rsid w:val="00335E81"/>
    <w:rsid w:val="00335F23"/>
    <w:rsid w:val="00336D22"/>
    <w:rsid w:val="00337440"/>
    <w:rsid w:val="0034195E"/>
    <w:rsid w:val="00341D3E"/>
    <w:rsid w:val="00341FBB"/>
    <w:rsid w:val="00344E83"/>
    <w:rsid w:val="003452E9"/>
    <w:rsid w:val="003459EE"/>
    <w:rsid w:val="00346142"/>
    <w:rsid w:val="003471B7"/>
    <w:rsid w:val="00347273"/>
    <w:rsid w:val="003475D6"/>
    <w:rsid w:val="00347AF9"/>
    <w:rsid w:val="00353DA1"/>
    <w:rsid w:val="00354333"/>
    <w:rsid w:val="003550E9"/>
    <w:rsid w:val="00355687"/>
    <w:rsid w:val="00355956"/>
    <w:rsid w:val="00355A00"/>
    <w:rsid w:val="003615C7"/>
    <w:rsid w:val="00361BED"/>
    <w:rsid w:val="00361D5B"/>
    <w:rsid w:val="00361DFA"/>
    <w:rsid w:val="00363F6E"/>
    <w:rsid w:val="003640EE"/>
    <w:rsid w:val="003645D5"/>
    <w:rsid w:val="00364766"/>
    <w:rsid w:val="003649F1"/>
    <w:rsid w:val="00365EC0"/>
    <w:rsid w:val="003705D9"/>
    <w:rsid w:val="00370739"/>
    <w:rsid w:val="00370F1B"/>
    <w:rsid w:val="003727AC"/>
    <w:rsid w:val="0037430C"/>
    <w:rsid w:val="0037468D"/>
    <w:rsid w:val="00375E63"/>
    <w:rsid w:val="00376136"/>
    <w:rsid w:val="00376255"/>
    <w:rsid w:val="0037644D"/>
    <w:rsid w:val="00376901"/>
    <w:rsid w:val="0037720F"/>
    <w:rsid w:val="00377B75"/>
    <w:rsid w:val="00377ED7"/>
    <w:rsid w:val="003805F9"/>
    <w:rsid w:val="0038071E"/>
    <w:rsid w:val="00380E2B"/>
    <w:rsid w:val="003817E5"/>
    <w:rsid w:val="00382C2B"/>
    <w:rsid w:val="003835DC"/>
    <w:rsid w:val="00383B16"/>
    <w:rsid w:val="00383C5B"/>
    <w:rsid w:val="00384979"/>
    <w:rsid w:val="00384C8D"/>
    <w:rsid w:val="003850E0"/>
    <w:rsid w:val="00385A57"/>
    <w:rsid w:val="0038609D"/>
    <w:rsid w:val="00386AB1"/>
    <w:rsid w:val="00386B5A"/>
    <w:rsid w:val="00390623"/>
    <w:rsid w:val="003908CB"/>
    <w:rsid w:val="00390CDB"/>
    <w:rsid w:val="00391628"/>
    <w:rsid w:val="00391C33"/>
    <w:rsid w:val="00391D33"/>
    <w:rsid w:val="00392491"/>
    <w:rsid w:val="003939E5"/>
    <w:rsid w:val="003940F3"/>
    <w:rsid w:val="003942AA"/>
    <w:rsid w:val="00395052"/>
    <w:rsid w:val="00395198"/>
    <w:rsid w:val="00395FEC"/>
    <w:rsid w:val="003962EB"/>
    <w:rsid w:val="003A00D7"/>
    <w:rsid w:val="003A04CB"/>
    <w:rsid w:val="003A102F"/>
    <w:rsid w:val="003A1583"/>
    <w:rsid w:val="003A20E8"/>
    <w:rsid w:val="003A235C"/>
    <w:rsid w:val="003A2EB5"/>
    <w:rsid w:val="003A3446"/>
    <w:rsid w:val="003A565F"/>
    <w:rsid w:val="003A62D3"/>
    <w:rsid w:val="003A7036"/>
    <w:rsid w:val="003A7423"/>
    <w:rsid w:val="003A7BE5"/>
    <w:rsid w:val="003B0013"/>
    <w:rsid w:val="003B1510"/>
    <w:rsid w:val="003B1E71"/>
    <w:rsid w:val="003B2325"/>
    <w:rsid w:val="003B3ADF"/>
    <w:rsid w:val="003B47E6"/>
    <w:rsid w:val="003B4AFB"/>
    <w:rsid w:val="003B4B94"/>
    <w:rsid w:val="003B4F51"/>
    <w:rsid w:val="003B522D"/>
    <w:rsid w:val="003B77D6"/>
    <w:rsid w:val="003C07F7"/>
    <w:rsid w:val="003C1835"/>
    <w:rsid w:val="003C2150"/>
    <w:rsid w:val="003C2605"/>
    <w:rsid w:val="003C2688"/>
    <w:rsid w:val="003C2D83"/>
    <w:rsid w:val="003C40DB"/>
    <w:rsid w:val="003C4463"/>
    <w:rsid w:val="003C50B2"/>
    <w:rsid w:val="003C5549"/>
    <w:rsid w:val="003C6483"/>
    <w:rsid w:val="003C7135"/>
    <w:rsid w:val="003D0518"/>
    <w:rsid w:val="003D063A"/>
    <w:rsid w:val="003D1871"/>
    <w:rsid w:val="003D1ADE"/>
    <w:rsid w:val="003D31D8"/>
    <w:rsid w:val="003D3806"/>
    <w:rsid w:val="003D4247"/>
    <w:rsid w:val="003D4303"/>
    <w:rsid w:val="003D4888"/>
    <w:rsid w:val="003D4D42"/>
    <w:rsid w:val="003D52CD"/>
    <w:rsid w:val="003D5985"/>
    <w:rsid w:val="003D5C7E"/>
    <w:rsid w:val="003D5EC2"/>
    <w:rsid w:val="003E07CE"/>
    <w:rsid w:val="003E146F"/>
    <w:rsid w:val="003E1C75"/>
    <w:rsid w:val="003E27F5"/>
    <w:rsid w:val="003E37E7"/>
    <w:rsid w:val="003E3BDF"/>
    <w:rsid w:val="003E43C5"/>
    <w:rsid w:val="003E4629"/>
    <w:rsid w:val="003E538D"/>
    <w:rsid w:val="003E5439"/>
    <w:rsid w:val="003E5864"/>
    <w:rsid w:val="003E5F77"/>
    <w:rsid w:val="003E628A"/>
    <w:rsid w:val="003E66F7"/>
    <w:rsid w:val="003E6B01"/>
    <w:rsid w:val="003E6E36"/>
    <w:rsid w:val="003F4E5D"/>
    <w:rsid w:val="003F59B0"/>
    <w:rsid w:val="003F6095"/>
    <w:rsid w:val="003F69CE"/>
    <w:rsid w:val="003F6AA2"/>
    <w:rsid w:val="003F6BF1"/>
    <w:rsid w:val="003F6E35"/>
    <w:rsid w:val="003F7442"/>
    <w:rsid w:val="00401243"/>
    <w:rsid w:val="00401309"/>
    <w:rsid w:val="00401720"/>
    <w:rsid w:val="00401DDE"/>
    <w:rsid w:val="004022FF"/>
    <w:rsid w:val="004036D5"/>
    <w:rsid w:val="00403DB6"/>
    <w:rsid w:val="00404546"/>
    <w:rsid w:val="004050ED"/>
    <w:rsid w:val="004058E3"/>
    <w:rsid w:val="0040726B"/>
    <w:rsid w:val="004107D4"/>
    <w:rsid w:val="0041132E"/>
    <w:rsid w:val="004116B8"/>
    <w:rsid w:val="00411D19"/>
    <w:rsid w:val="00413576"/>
    <w:rsid w:val="0041413D"/>
    <w:rsid w:val="004157E1"/>
    <w:rsid w:val="00415971"/>
    <w:rsid w:val="00416BCD"/>
    <w:rsid w:val="00416BE0"/>
    <w:rsid w:val="00416F7F"/>
    <w:rsid w:val="00417A11"/>
    <w:rsid w:val="004206AD"/>
    <w:rsid w:val="00422175"/>
    <w:rsid w:val="00424456"/>
    <w:rsid w:val="00427188"/>
    <w:rsid w:val="0042779C"/>
    <w:rsid w:val="004311DE"/>
    <w:rsid w:val="00431A02"/>
    <w:rsid w:val="00432398"/>
    <w:rsid w:val="004326DE"/>
    <w:rsid w:val="00432B76"/>
    <w:rsid w:val="004346C8"/>
    <w:rsid w:val="0043482B"/>
    <w:rsid w:val="00434B29"/>
    <w:rsid w:val="00435BE2"/>
    <w:rsid w:val="00435E1D"/>
    <w:rsid w:val="004366D9"/>
    <w:rsid w:val="004368CC"/>
    <w:rsid w:val="0043692B"/>
    <w:rsid w:val="00437D9F"/>
    <w:rsid w:val="00437DAE"/>
    <w:rsid w:val="00441FC4"/>
    <w:rsid w:val="00443803"/>
    <w:rsid w:val="00444D99"/>
    <w:rsid w:val="00445DC4"/>
    <w:rsid w:val="0044741C"/>
    <w:rsid w:val="004507D3"/>
    <w:rsid w:val="00450BDC"/>
    <w:rsid w:val="00450F5C"/>
    <w:rsid w:val="00450F71"/>
    <w:rsid w:val="004519CF"/>
    <w:rsid w:val="004527F3"/>
    <w:rsid w:val="0045304C"/>
    <w:rsid w:val="00453C3F"/>
    <w:rsid w:val="00454650"/>
    <w:rsid w:val="00455325"/>
    <w:rsid w:val="00455845"/>
    <w:rsid w:val="00455C6F"/>
    <w:rsid w:val="0045640F"/>
    <w:rsid w:val="00456B6F"/>
    <w:rsid w:val="00456D7F"/>
    <w:rsid w:val="004570BA"/>
    <w:rsid w:val="004610C7"/>
    <w:rsid w:val="004615B1"/>
    <w:rsid w:val="00461959"/>
    <w:rsid w:val="00461BCC"/>
    <w:rsid w:val="004626E9"/>
    <w:rsid w:val="00462D8D"/>
    <w:rsid w:val="0046397D"/>
    <w:rsid w:val="00464B5A"/>
    <w:rsid w:val="00465B94"/>
    <w:rsid w:val="00466AAB"/>
    <w:rsid w:val="00472412"/>
    <w:rsid w:val="004727C9"/>
    <w:rsid w:val="00472B66"/>
    <w:rsid w:val="00472CB2"/>
    <w:rsid w:val="004760BD"/>
    <w:rsid w:val="00477A41"/>
    <w:rsid w:val="004803D9"/>
    <w:rsid w:val="00481911"/>
    <w:rsid w:val="00482139"/>
    <w:rsid w:val="0048217B"/>
    <w:rsid w:val="00482588"/>
    <w:rsid w:val="004825A4"/>
    <w:rsid w:val="00483B79"/>
    <w:rsid w:val="004842F7"/>
    <w:rsid w:val="0048683D"/>
    <w:rsid w:val="00490797"/>
    <w:rsid w:val="00492538"/>
    <w:rsid w:val="004937CE"/>
    <w:rsid w:val="004941A4"/>
    <w:rsid w:val="00494333"/>
    <w:rsid w:val="004959E9"/>
    <w:rsid w:val="00496201"/>
    <w:rsid w:val="00496AC7"/>
    <w:rsid w:val="004A1F7C"/>
    <w:rsid w:val="004A2095"/>
    <w:rsid w:val="004A34E2"/>
    <w:rsid w:val="004A4B1B"/>
    <w:rsid w:val="004A5535"/>
    <w:rsid w:val="004A66A9"/>
    <w:rsid w:val="004A66C3"/>
    <w:rsid w:val="004A7271"/>
    <w:rsid w:val="004A74D1"/>
    <w:rsid w:val="004A762F"/>
    <w:rsid w:val="004A7F2C"/>
    <w:rsid w:val="004B035E"/>
    <w:rsid w:val="004B13C5"/>
    <w:rsid w:val="004B1BA9"/>
    <w:rsid w:val="004B1C88"/>
    <w:rsid w:val="004B233C"/>
    <w:rsid w:val="004B2DB5"/>
    <w:rsid w:val="004B384A"/>
    <w:rsid w:val="004B3AA0"/>
    <w:rsid w:val="004B3C23"/>
    <w:rsid w:val="004B462E"/>
    <w:rsid w:val="004B5529"/>
    <w:rsid w:val="004B6B21"/>
    <w:rsid w:val="004C0602"/>
    <w:rsid w:val="004C17AF"/>
    <w:rsid w:val="004C1D99"/>
    <w:rsid w:val="004C1F8A"/>
    <w:rsid w:val="004C3297"/>
    <w:rsid w:val="004C579B"/>
    <w:rsid w:val="004C608E"/>
    <w:rsid w:val="004C6F12"/>
    <w:rsid w:val="004C7964"/>
    <w:rsid w:val="004D01B0"/>
    <w:rsid w:val="004D0E74"/>
    <w:rsid w:val="004D0E7F"/>
    <w:rsid w:val="004D1492"/>
    <w:rsid w:val="004D2A6F"/>
    <w:rsid w:val="004D30C7"/>
    <w:rsid w:val="004D3C2E"/>
    <w:rsid w:val="004D599C"/>
    <w:rsid w:val="004D5B25"/>
    <w:rsid w:val="004D76C7"/>
    <w:rsid w:val="004E1406"/>
    <w:rsid w:val="004E19BE"/>
    <w:rsid w:val="004E2841"/>
    <w:rsid w:val="004E3B47"/>
    <w:rsid w:val="004E3FC3"/>
    <w:rsid w:val="004E45BB"/>
    <w:rsid w:val="004E4BD3"/>
    <w:rsid w:val="004E4F73"/>
    <w:rsid w:val="004E5324"/>
    <w:rsid w:val="004E5AC7"/>
    <w:rsid w:val="004E5F81"/>
    <w:rsid w:val="004E6ACA"/>
    <w:rsid w:val="004F05C7"/>
    <w:rsid w:val="004F090B"/>
    <w:rsid w:val="004F0DEA"/>
    <w:rsid w:val="004F157F"/>
    <w:rsid w:val="004F42E6"/>
    <w:rsid w:val="004F4505"/>
    <w:rsid w:val="004F4B55"/>
    <w:rsid w:val="004F6552"/>
    <w:rsid w:val="004F6A0D"/>
    <w:rsid w:val="004F6CE2"/>
    <w:rsid w:val="004F6EAB"/>
    <w:rsid w:val="004F7388"/>
    <w:rsid w:val="004F77C9"/>
    <w:rsid w:val="004F782E"/>
    <w:rsid w:val="004F7AE0"/>
    <w:rsid w:val="00501710"/>
    <w:rsid w:val="00501B9F"/>
    <w:rsid w:val="00502A99"/>
    <w:rsid w:val="00502E23"/>
    <w:rsid w:val="0050387A"/>
    <w:rsid w:val="00503C41"/>
    <w:rsid w:val="00504701"/>
    <w:rsid w:val="00504981"/>
    <w:rsid w:val="005052F1"/>
    <w:rsid w:val="00506779"/>
    <w:rsid w:val="005072AB"/>
    <w:rsid w:val="00507988"/>
    <w:rsid w:val="00507F35"/>
    <w:rsid w:val="00510533"/>
    <w:rsid w:val="005108DE"/>
    <w:rsid w:val="0051209D"/>
    <w:rsid w:val="005122B2"/>
    <w:rsid w:val="005142E0"/>
    <w:rsid w:val="0051447A"/>
    <w:rsid w:val="00515FE7"/>
    <w:rsid w:val="00516144"/>
    <w:rsid w:val="00516B1A"/>
    <w:rsid w:val="00517451"/>
    <w:rsid w:val="00520281"/>
    <w:rsid w:val="00520C6D"/>
    <w:rsid w:val="00521980"/>
    <w:rsid w:val="00521CD6"/>
    <w:rsid w:val="005225CA"/>
    <w:rsid w:val="00522A06"/>
    <w:rsid w:val="005246ED"/>
    <w:rsid w:val="00524732"/>
    <w:rsid w:val="00524CCE"/>
    <w:rsid w:val="005252B3"/>
    <w:rsid w:val="00525A8F"/>
    <w:rsid w:val="00525C66"/>
    <w:rsid w:val="00525CC4"/>
    <w:rsid w:val="00530FBB"/>
    <w:rsid w:val="00532465"/>
    <w:rsid w:val="005328F9"/>
    <w:rsid w:val="00532B3C"/>
    <w:rsid w:val="00534377"/>
    <w:rsid w:val="00534515"/>
    <w:rsid w:val="00534C6E"/>
    <w:rsid w:val="00535701"/>
    <w:rsid w:val="00536BC8"/>
    <w:rsid w:val="0054049D"/>
    <w:rsid w:val="00540756"/>
    <w:rsid w:val="005407FA"/>
    <w:rsid w:val="005414A0"/>
    <w:rsid w:val="00542A3E"/>
    <w:rsid w:val="00543C07"/>
    <w:rsid w:val="00544052"/>
    <w:rsid w:val="0054446B"/>
    <w:rsid w:val="005447B5"/>
    <w:rsid w:val="00544860"/>
    <w:rsid w:val="005454E6"/>
    <w:rsid w:val="00545622"/>
    <w:rsid w:val="0054698B"/>
    <w:rsid w:val="00546C54"/>
    <w:rsid w:val="00546E5D"/>
    <w:rsid w:val="00547A0D"/>
    <w:rsid w:val="005519F9"/>
    <w:rsid w:val="0055300D"/>
    <w:rsid w:val="0055349E"/>
    <w:rsid w:val="005549A8"/>
    <w:rsid w:val="00554A6E"/>
    <w:rsid w:val="0055565B"/>
    <w:rsid w:val="00555949"/>
    <w:rsid w:val="00556374"/>
    <w:rsid w:val="00560063"/>
    <w:rsid w:val="0056033F"/>
    <w:rsid w:val="00561807"/>
    <w:rsid w:val="005621AD"/>
    <w:rsid w:val="005632D9"/>
    <w:rsid w:val="00563542"/>
    <w:rsid w:val="0056529E"/>
    <w:rsid w:val="0056558A"/>
    <w:rsid w:val="005672A6"/>
    <w:rsid w:val="005675D1"/>
    <w:rsid w:val="00570AE6"/>
    <w:rsid w:val="0057110F"/>
    <w:rsid w:val="0057115C"/>
    <w:rsid w:val="005718D4"/>
    <w:rsid w:val="00571C4F"/>
    <w:rsid w:val="0057216E"/>
    <w:rsid w:val="005722E5"/>
    <w:rsid w:val="0057335D"/>
    <w:rsid w:val="00573414"/>
    <w:rsid w:val="00574525"/>
    <w:rsid w:val="00574BC9"/>
    <w:rsid w:val="00576104"/>
    <w:rsid w:val="0057664C"/>
    <w:rsid w:val="00576C54"/>
    <w:rsid w:val="005776E3"/>
    <w:rsid w:val="00577A09"/>
    <w:rsid w:val="005809A3"/>
    <w:rsid w:val="00580EC0"/>
    <w:rsid w:val="005819ED"/>
    <w:rsid w:val="00582568"/>
    <w:rsid w:val="005838AA"/>
    <w:rsid w:val="00583DA8"/>
    <w:rsid w:val="00584907"/>
    <w:rsid w:val="00586879"/>
    <w:rsid w:val="00587E0D"/>
    <w:rsid w:val="0059033E"/>
    <w:rsid w:val="00590B53"/>
    <w:rsid w:val="00591285"/>
    <w:rsid w:val="00591324"/>
    <w:rsid w:val="00591F82"/>
    <w:rsid w:val="00592C25"/>
    <w:rsid w:val="00593455"/>
    <w:rsid w:val="00594D44"/>
    <w:rsid w:val="005952D1"/>
    <w:rsid w:val="005958F8"/>
    <w:rsid w:val="0059667A"/>
    <w:rsid w:val="00596839"/>
    <w:rsid w:val="00596EF9"/>
    <w:rsid w:val="00596F2D"/>
    <w:rsid w:val="005A08A4"/>
    <w:rsid w:val="005A0B2A"/>
    <w:rsid w:val="005A1495"/>
    <w:rsid w:val="005A17C6"/>
    <w:rsid w:val="005A2BFB"/>
    <w:rsid w:val="005A2C02"/>
    <w:rsid w:val="005A377B"/>
    <w:rsid w:val="005A506D"/>
    <w:rsid w:val="005A513F"/>
    <w:rsid w:val="005A6FDF"/>
    <w:rsid w:val="005A720C"/>
    <w:rsid w:val="005B1396"/>
    <w:rsid w:val="005B1BA4"/>
    <w:rsid w:val="005B276C"/>
    <w:rsid w:val="005B5F04"/>
    <w:rsid w:val="005B625A"/>
    <w:rsid w:val="005B78EF"/>
    <w:rsid w:val="005C1433"/>
    <w:rsid w:val="005C167A"/>
    <w:rsid w:val="005C2681"/>
    <w:rsid w:val="005C2F64"/>
    <w:rsid w:val="005C4033"/>
    <w:rsid w:val="005C5487"/>
    <w:rsid w:val="005C7846"/>
    <w:rsid w:val="005D071D"/>
    <w:rsid w:val="005D3446"/>
    <w:rsid w:val="005D3A5D"/>
    <w:rsid w:val="005D487B"/>
    <w:rsid w:val="005D4D64"/>
    <w:rsid w:val="005D4E54"/>
    <w:rsid w:val="005D5484"/>
    <w:rsid w:val="005D77C4"/>
    <w:rsid w:val="005E0BC6"/>
    <w:rsid w:val="005E1260"/>
    <w:rsid w:val="005E1594"/>
    <w:rsid w:val="005E35DB"/>
    <w:rsid w:val="005E35F6"/>
    <w:rsid w:val="005E3B17"/>
    <w:rsid w:val="005E4A5C"/>
    <w:rsid w:val="005E58F3"/>
    <w:rsid w:val="005E6BB2"/>
    <w:rsid w:val="005E6BCE"/>
    <w:rsid w:val="005E7801"/>
    <w:rsid w:val="005E78FC"/>
    <w:rsid w:val="005E7C49"/>
    <w:rsid w:val="005F05B8"/>
    <w:rsid w:val="005F1DB7"/>
    <w:rsid w:val="005F20BD"/>
    <w:rsid w:val="005F27F1"/>
    <w:rsid w:val="005F415D"/>
    <w:rsid w:val="005F4861"/>
    <w:rsid w:val="005F5209"/>
    <w:rsid w:val="005F692C"/>
    <w:rsid w:val="005F7446"/>
    <w:rsid w:val="005F74E6"/>
    <w:rsid w:val="0060038D"/>
    <w:rsid w:val="00600C02"/>
    <w:rsid w:val="00600D76"/>
    <w:rsid w:val="00600ED0"/>
    <w:rsid w:val="00601027"/>
    <w:rsid w:val="00601046"/>
    <w:rsid w:val="00601244"/>
    <w:rsid w:val="00602829"/>
    <w:rsid w:val="006030B9"/>
    <w:rsid w:val="00603103"/>
    <w:rsid w:val="00604C20"/>
    <w:rsid w:val="006052DD"/>
    <w:rsid w:val="00605CA5"/>
    <w:rsid w:val="006063D0"/>
    <w:rsid w:val="00606837"/>
    <w:rsid w:val="006069A9"/>
    <w:rsid w:val="00610266"/>
    <w:rsid w:val="00611C29"/>
    <w:rsid w:val="00611DAC"/>
    <w:rsid w:val="00611EE5"/>
    <w:rsid w:val="006128C6"/>
    <w:rsid w:val="00612ACC"/>
    <w:rsid w:val="006132FF"/>
    <w:rsid w:val="00613314"/>
    <w:rsid w:val="00613563"/>
    <w:rsid w:val="0061408B"/>
    <w:rsid w:val="0061455D"/>
    <w:rsid w:val="00614904"/>
    <w:rsid w:val="006149B4"/>
    <w:rsid w:val="00615CE8"/>
    <w:rsid w:val="00616AD4"/>
    <w:rsid w:val="00620530"/>
    <w:rsid w:val="00620EE0"/>
    <w:rsid w:val="006219FC"/>
    <w:rsid w:val="00621F19"/>
    <w:rsid w:val="00622559"/>
    <w:rsid w:val="00622F1F"/>
    <w:rsid w:val="00623F4D"/>
    <w:rsid w:val="00624CFB"/>
    <w:rsid w:val="006251CC"/>
    <w:rsid w:val="006255BF"/>
    <w:rsid w:val="00625A76"/>
    <w:rsid w:val="00625F00"/>
    <w:rsid w:val="006268F2"/>
    <w:rsid w:val="00631FA9"/>
    <w:rsid w:val="00632C16"/>
    <w:rsid w:val="006337D0"/>
    <w:rsid w:val="0063502B"/>
    <w:rsid w:val="00635AFC"/>
    <w:rsid w:val="00637E73"/>
    <w:rsid w:val="006405BF"/>
    <w:rsid w:val="00640930"/>
    <w:rsid w:val="006409C5"/>
    <w:rsid w:val="00640C01"/>
    <w:rsid w:val="00641F0D"/>
    <w:rsid w:val="006420CB"/>
    <w:rsid w:val="00642454"/>
    <w:rsid w:val="00642854"/>
    <w:rsid w:val="00642D64"/>
    <w:rsid w:val="00643E31"/>
    <w:rsid w:val="00644967"/>
    <w:rsid w:val="00644F12"/>
    <w:rsid w:val="00650B1F"/>
    <w:rsid w:val="00651BCC"/>
    <w:rsid w:val="00651DB8"/>
    <w:rsid w:val="00652812"/>
    <w:rsid w:val="00652927"/>
    <w:rsid w:val="00652AF5"/>
    <w:rsid w:val="0065303A"/>
    <w:rsid w:val="00653461"/>
    <w:rsid w:val="0065397F"/>
    <w:rsid w:val="00653B90"/>
    <w:rsid w:val="00654BF2"/>
    <w:rsid w:val="006555C8"/>
    <w:rsid w:val="006557AA"/>
    <w:rsid w:val="0065595B"/>
    <w:rsid w:val="00655EFE"/>
    <w:rsid w:val="00655FD4"/>
    <w:rsid w:val="006561B5"/>
    <w:rsid w:val="00657159"/>
    <w:rsid w:val="006578C6"/>
    <w:rsid w:val="006607E8"/>
    <w:rsid w:val="0066111D"/>
    <w:rsid w:val="006613AA"/>
    <w:rsid w:val="00662B75"/>
    <w:rsid w:val="00662EA1"/>
    <w:rsid w:val="00662F14"/>
    <w:rsid w:val="00664818"/>
    <w:rsid w:val="00665D01"/>
    <w:rsid w:val="00670ECE"/>
    <w:rsid w:val="00671B50"/>
    <w:rsid w:val="0067242F"/>
    <w:rsid w:val="00672E3C"/>
    <w:rsid w:val="00673937"/>
    <w:rsid w:val="006766BA"/>
    <w:rsid w:val="006771A7"/>
    <w:rsid w:val="006775DF"/>
    <w:rsid w:val="00680291"/>
    <w:rsid w:val="006823A8"/>
    <w:rsid w:val="0068246C"/>
    <w:rsid w:val="006833A1"/>
    <w:rsid w:val="00684C18"/>
    <w:rsid w:val="00685A34"/>
    <w:rsid w:val="00686840"/>
    <w:rsid w:val="0068775A"/>
    <w:rsid w:val="00687988"/>
    <w:rsid w:val="006903B1"/>
    <w:rsid w:val="00690D41"/>
    <w:rsid w:val="0069120E"/>
    <w:rsid w:val="00691427"/>
    <w:rsid w:val="00691FBE"/>
    <w:rsid w:val="00692D6A"/>
    <w:rsid w:val="00694120"/>
    <w:rsid w:val="00694203"/>
    <w:rsid w:val="0069517D"/>
    <w:rsid w:val="00695A49"/>
    <w:rsid w:val="006969B4"/>
    <w:rsid w:val="00696C07"/>
    <w:rsid w:val="0069701F"/>
    <w:rsid w:val="006A04A6"/>
    <w:rsid w:val="006A0952"/>
    <w:rsid w:val="006A1105"/>
    <w:rsid w:val="006A15D3"/>
    <w:rsid w:val="006A2A22"/>
    <w:rsid w:val="006A2B39"/>
    <w:rsid w:val="006A38C3"/>
    <w:rsid w:val="006A49DE"/>
    <w:rsid w:val="006A5CF2"/>
    <w:rsid w:val="006A5EAD"/>
    <w:rsid w:val="006A60E9"/>
    <w:rsid w:val="006A64FC"/>
    <w:rsid w:val="006A7003"/>
    <w:rsid w:val="006B0B48"/>
    <w:rsid w:val="006B0E5C"/>
    <w:rsid w:val="006B0E84"/>
    <w:rsid w:val="006B2429"/>
    <w:rsid w:val="006B3A4D"/>
    <w:rsid w:val="006B3FAA"/>
    <w:rsid w:val="006B4182"/>
    <w:rsid w:val="006B4C61"/>
    <w:rsid w:val="006B4CAE"/>
    <w:rsid w:val="006B7CD9"/>
    <w:rsid w:val="006C0299"/>
    <w:rsid w:val="006C2D26"/>
    <w:rsid w:val="006C318F"/>
    <w:rsid w:val="006C44AA"/>
    <w:rsid w:val="006C490C"/>
    <w:rsid w:val="006C564F"/>
    <w:rsid w:val="006C5B11"/>
    <w:rsid w:val="006C5D89"/>
    <w:rsid w:val="006C6316"/>
    <w:rsid w:val="006C7C15"/>
    <w:rsid w:val="006D023C"/>
    <w:rsid w:val="006D09B1"/>
    <w:rsid w:val="006D1010"/>
    <w:rsid w:val="006D21C2"/>
    <w:rsid w:val="006D23B5"/>
    <w:rsid w:val="006D3AEF"/>
    <w:rsid w:val="006D3F90"/>
    <w:rsid w:val="006D5A39"/>
    <w:rsid w:val="006D616D"/>
    <w:rsid w:val="006D709B"/>
    <w:rsid w:val="006D7F0F"/>
    <w:rsid w:val="006E06D2"/>
    <w:rsid w:val="006E43D5"/>
    <w:rsid w:val="006E47F8"/>
    <w:rsid w:val="006E534F"/>
    <w:rsid w:val="006E6EEB"/>
    <w:rsid w:val="006E7B1A"/>
    <w:rsid w:val="006E7B2D"/>
    <w:rsid w:val="006F0B9F"/>
    <w:rsid w:val="006F17F3"/>
    <w:rsid w:val="006F28C4"/>
    <w:rsid w:val="006F2AF1"/>
    <w:rsid w:val="006F2C4A"/>
    <w:rsid w:val="006F3578"/>
    <w:rsid w:val="006F3F01"/>
    <w:rsid w:val="006F62B2"/>
    <w:rsid w:val="006F6CA2"/>
    <w:rsid w:val="006F6E50"/>
    <w:rsid w:val="0070119A"/>
    <w:rsid w:val="00702A12"/>
    <w:rsid w:val="00702F36"/>
    <w:rsid w:val="00703429"/>
    <w:rsid w:val="00703E9B"/>
    <w:rsid w:val="00704D2F"/>
    <w:rsid w:val="00705319"/>
    <w:rsid w:val="007054AC"/>
    <w:rsid w:val="007054D6"/>
    <w:rsid w:val="00705AAF"/>
    <w:rsid w:val="00706104"/>
    <w:rsid w:val="0070640F"/>
    <w:rsid w:val="00707C3B"/>
    <w:rsid w:val="00707F61"/>
    <w:rsid w:val="0071004F"/>
    <w:rsid w:val="00710BCF"/>
    <w:rsid w:val="007110A0"/>
    <w:rsid w:val="00712693"/>
    <w:rsid w:val="007127DA"/>
    <w:rsid w:val="00712F5B"/>
    <w:rsid w:val="0071377E"/>
    <w:rsid w:val="00713EE5"/>
    <w:rsid w:val="00714BA3"/>
    <w:rsid w:val="00716184"/>
    <w:rsid w:val="00716E4F"/>
    <w:rsid w:val="00717BEE"/>
    <w:rsid w:val="00720B86"/>
    <w:rsid w:val="007211EA"/>
    <w:rsid w:val="007218F0"/>
    <w:rsid w:val="00722DE6"/>
    <w:rsid w:val="007246F9"/>
    <w:rsid w:val="00724768"/>
    <w:rsid w:val="00726E39"/>
    <w:rsid w:val="007271C8"/>
    <w:rsid w:val="007276A7"/>
    <w:rsid w:val="00727DF2"/>
    <w:rsid w:val="00730FA7"/>
    <w:rsid w:val="00731301"/>
    <w:rsid w:val="00732904"/>
    <w:rsid w:val="00732E0F"/>
    <w:rsid w:val="00733338"/>
    <w:rsid w:val="007342CC"/>
    <w:rsid w:val="007343A5"/>
    <w:rsid w:val="00735294"/>
    <w:rsid w:val="00735509"/>
    <w:rsid w:val="00735569"/>
    <w:rsid w:val="00736751"/>
    <w:rsid w:val="00736872"/>
    <w:rsid w:val="007376F9"/>
    <w:rsid w:val="00737AEE"/>
    <w:rsid w:val="00741F18"/>
    <w:rsid w:val="0074267D"/>
    <w:rsid w:val="007436AC"/>
    <w:rsid w:val="0074372C"/>
    <w:rsid w:val="00743ED7"/>
    <w:rsid w:val="0074600E"/>
    <w:rsid w:val="00746214"/>
    <w:rsid w:val="00747091"/>
    <w:rsid w:val="00747AF2"/>
    <w:rsid w:val="00747AF3"/>
    <w:rsid w:val="00751BD7"/>
    <w:rsid w:val="0075223E"/>
    <w:rsid w:val="007523E2"/>
    <w:rsid w:val="00752CC5"/>
    <w:rsid w:val="00753243"/>
    <w:rsid w:val="0075384E"/>
    <w:rsid w:val="00753F25"/>
    <w:rsid w:val="00754CC1"/>
    <w:rsid w:val="00755BAE"/>
    <w:rsid w:val="00756B05"/>
    <w:rsid w:val="00756D2C"/>
    <w:rsid w:val="00757DB1"/>
    <w:rsid w:val="00757E53"/>
    <w:rsid w:val="00760B2B"/>
    <w:rsid w:val="0076161D"/>
    <w:rsid w:val="007624E6"/>
    <w:rsid w:val="00762705"/>
    <w:rsid w:val="00763415"/>
    <w:rsid w:val="00763967"/>
    <w:rsid w:val="007641A7"/>
    <w:rsid w:val="007644BF"/>
    <w:rsid w:val="007655A4"/>
    <w:rsid w:val="00766667"/>
    <w:rsid w:val="00766812"/>
    <w:rsid w:val="00766F7E"/>
    <w:rsid w:val="00767B81"/>
    <w:rsid w:val="007707B0"/>
    <w:rsid w:val="00770D7C"/>
    <w:rsid w:val="00772745"/>
    <w:rsid w:val="00772D49"/>
    <w:rsid w:val="00773417"/>
    <w:rsid w:val="0077487E"/>
    <w:rsid w:val="00774E54"/>
    <w:rsid w:val="00776D9B"/>
    <w:rsid w:val="0077712E"/>
    <w:rsid w:val="0077735C"/>
    <w:rsid w:val="0077799A"/>
    <w:rsid w:val="00777C39"/>
    <w:rsid w:val="00781756"/>
    <w:rsid w:val="00782BCC"/>
    <w:rsid w:val="007835ED"/>
    <w:rsid w:val="00783CDD"/>
    <w:rsid w:val="0078422C"/>
    <w:rsid w:val="00784EBD"/>
    <w:rsid w:val="00785D95"/>
    <w:rsid w:val="00786118"/>
    <w:rsid w:val="0078706F"/>
    <w:rsid w:val="00787698"/>
    <w:rsid w:val="00787F79"/>
    <w:rsid w:val="007900F0"/>
    <w:rsid w:val="007908CD"/>
    <w:rsid w:val="00790DD8"/>
    <w:rsid w:val="0079259C"/>
    <w:rsid w:val="00792C2A"/>
    <w:rsid w:val="0079516C"/>
    <w:rsid w:val="007958D8"/>
    <w:rsid w:val="007966EE"/>
    <w:rsid w:val="007A0018"/>
    <w:rsid w:val="007A0423"/>
    <w:rsid w:val="007A11F4"/>
    <w:rsid w:val="007A1FB8"/>
    <w:rsid w:val="007A2164"/>
    <w:rsid w:val="007A3E0E"/>
    <w:rsid w:val="007A3F55"/>
    <w:rsid w:val="007A4284"/>
    <w:rsid w:val="007A4322"/>
    <w:rsid w:val="007A43E2"/>
    <w:rsid w:val="007A4476"/>
    <w:rsid w:val="007A5762"/>
    <w:rsid w:val="007A5A46"/>
    <w:rsid w:val="007A5D28"/>
    <w:rsid w:val="007A6465"/>
    <w:rsid w:val="007A706E"/>
    <w:rsid w:val="007A7D05"/>
    <w:rsid w:val="007B04A9"/>
    <w:rsid w:val="007B04B1"/>
    <w:rsid w:val="007B0BFC"/>
    <w:rsid w:val="007B0F0B"/>
    <w:rsid w:val="007B138A"/>
    <w:rsid w:val="007B1543"/>
    <w:rsid w:val="007B2E7D"/>
    <w:rsid w:val="007B34E5"/>
    <w:rsid w:val="007B5789"/>
    <w:rsid w:val="007B5D45"/>
    <w:rsid w:val="007B5F1F"/>
    <w:rsid w:val="007B6A15"/>
    <w:rsid w:val="007B7F1D"/>
    <w:rsid w:val="007C1A03"/>
    <w:rsid w:val="007C1DE3"/>
    <w:rsid w:val="007C1E45"/>
    <w:rsid w:val="007C2119"/>
    <w:rsid w:val="007C2193"/>
    <w:rsid w:val="007C30E2"/>
    <w:rsid w:val="007C4D1F"/>
    <w:rsid w:val="007C4DD9"/>
    <w:rsid w:val="007C65CB"/>
    <w:rsid w:val="007C78B2"/>
    <w:rsid w:val="007D0D90"/>
    <w:rsid w:val="007D197E"/>
    <w:rsid w:val="007D19A5"/>
    <w:rsid w:val="007D19AC"/>
    <w:rsid w:val="007D252D"/>
    <w:rsid w:val="007D2ECC"/>
    <w:rsid w:val="007D2F3E"/>
    <w:rsid w:val="007D343B"/>
    <w:rsid w:val="007D3DF7"/>
    <w:rsid w:val="007D3F88"/>
    <w:rsid w:val="007D4859"/>
    <w:rsid w:val="007D5B03"/>
    <w:rsid w:val="007D5F04"/>
    <w:rsid w:val="007E04D3"/>
    <w:rsid w:val="007E0BEB"/>
    <w:rsid w:val="007E0F4C"/>
    <w:rsid w:val="007E0F98"/>
    <w:rsid w:val="007E100D"/>
    <w:rsid w:val="007E1BA5"/>
    <w:rsid w:val="007E1C81"/>
    <w:rsid w:val="007E1FE2"/>
    <w:rsid w:val="007E22B1"/>
    <w:rsid w:val="007E2D2C"/>
    <w:rsid w:val="007E325D"/>
    <w:rsid w:val="007E345C"/>
    <w:rsid w:val="007E461A"/>
    <w:rsid w:val="007E47AB"/>
    <w:rsid w:val="007E4DCB"/>
    <w:rsid w:val="007E7E27"/>
    <w:rsid w:val="007F027D"/>
    <w:rsid w:val="007F290E"/>
    <w:rsid w:val="007F29D8"/>
    <w:rsid w:val="007F2B58"/>
    <w:rsid w:val="007F3E35"/>
    <w:rsid w:val="007F5828"/>
    <w:rsid w:val="008005D1"/>
    <w:rsid w:val="00801511"/>
    <w:rsid w:val="00802072"/>
    <w:rsid w:val="00802180"/>
    <w:rsid w:val="008031C2"/>
    <w:rsid w:val="00803470"/>
    <w:rsid w:val="0080367D"/>
    <w:rsid w:val="008036A4"/>
    <w:rsid w:val="00803FA6"/>
    <w:rsid w:val="00804B2E"/>
    <w:rsid w:val="00805498"/>
    <w:rsid w:val="00806D97"/>
    <w:rsid w:val="008078C8"/>
    <w:rsid w:val="00807C8D"/>
    <w:rsid w:val="0081016C"/>
    <w:rsid w:val="00810440"/>
    <w:rsid w:val="008110F7"/>
    <w:rsid w:val="00811A0E"/>
    <w:rsid w:val="00812119"/>
    <w:rsid w:val="00812C56"/>
    <w:rsid w:val="008133C9"/>
    <w:rsid w:val="00814167"/>
    <w:rsid w:val="00814277"/>
    <w:rsid w:val="0081434C"/>
    <w:rsid w:val="00814991"/>
    <w:rsid w:val="00814AE8"/>
    <w:rsid w:val="00815905"/>
    <w:rsid w:val="0081631E"/>
    <w:rsid w:val="00817BEF"/>
    <w:rsid w:val="00817F8B"/>
    <w:rsid w:val="008202BF"/>
    <w:rsid w:val="00820767"/>
    <w:rsid w:val="00821797"/>
    <w:rsid w:val="00821CB1"/>
    <w:rsid w:val="00822415"/>
    <w:rsid w:val="0082263B"/>
    <w:rsid w:val="00823438"/>
    <w:rsid w:val="0082444C"/>
    <w:rsid w:val="0082531F"/>
    <w:rsid w:val="00825901"/>
    <w:rsid w:val="008260F1"/>
    <w:rsid w:val="00826BE9"/>
    <w:rsid w:val="00826D01"/>
    <w:rsid w:val="00827B90"/>
    <w:rsid w:val="00831004"/>
    <w:rsid w:val="0083182A"/>
    <w:rsid w:val="00831F2B"/>
    <w:rsid w:val="0083218E"/>
    <w:rsid w:val="0083271D"/>
    <w:rsid w:val="00833CEE"/>
    <w:rsid w:val="00833FAC"/>
    <w:rsid w:val="0083724B"/>
    <w:rsid w:val="0083741F"/>
    <w:rsid w:val="00840DF1"/>
    <w:rsid w:val="00840F15"/>
    <w:rsid w:val="00841934"/>
    <w:rsid w:val="008425BC"/>
    <w:rsid w:val="008426B9"/>
    <w:rsid w:val="0084275E"/>
    <w:rsid w:val="008431BA"/>
    <w:rsid w:val="0084398F"/>
    <w:rsid w:val="00844867"/>
    <w:rsid w:val="00844BF8"/>
    <w:rsid w:val="008470C1"/>
    <w:rsid w:val="00847B70"/>
    <w:rsid w:val="008502F5"/>
    <w:rsid w:val="00850672"/>
    <w:rsid w:val="00851E08"/>
    <w:rsid w:val="008520F9"/>
    <w:rsid w:val="00854853"/>
    <w:rsid w:val="008548C9"/>
    <w:rsid w:val="00854C44"/>
    <w:rsid w:val="008560BC"/>
    <w:rsid w:val="00856621"/>
    <w:rsid w:val="008567A9"/>
    <w:rsid w:val="00856824"/>
    <w:rsid w:val="00856DA2"/>
    <w:rsid w:val="00857109"/>
    <w:rsid w:val="008571D4"/>
    <w:rsid w:val="008610BA"/>
    <w:rsid w:val="00861351"/>
    <w:rsid w:val="0086230A"/>
    <w:rsid w:val="00862C12"/>
    <w:rsid w:val="00863D36"/>
    <w:rsid w:val="008643FF"/>
    <w:rsid w:val="0086456A"/>
    <w:rsid w:val="0086694B"/>
    <w:rsid w:val="00866A6E"/>
    <w:rsid w:val="00866C2A"/>
    <w:rsid w:val="00870550"/>
    <w:rsid w:val="0087069B"/>
    <w:rsid w:val="00870D98"/>
    <w:rsid w:val="00871803"/>
    <w:rsid w:val="00871BAB"/>
    <w:rsid w:val="00873918"/>
    <w:rsid w:val="00873DA2"/>
    <w:rsid w:val="00873F40"/>
    <w:rsid w:val="00874CD8"/>
    <w:rsid w:val="00876AD6"/>
    <w:rsid w:val="00876D9E"/>
    <w:rsid w:val="008773E1"/>
    <w:rsid w:val="00877BB3"/>
    <w:rsid w:val="00877EFB"/>
    <w:rsid w:val="008804B3"/>
    <w:rsid w:val="008807C0"/>
    <w:rsid w:val="00882062"/>
    <w:rsid w:val="0088370E"/>
    <w:rsid w:val="00883987"/>
    <w:rsid w:val="0088595B"/>
    <w:rsid w:val="00885EBD"/>
    <w:rsid w:val="00886102"/>
    <w:rsid w:val="008865DE"/>
    <w:rsid w:val="00886673"/>
    <w:rsid w:val="00886D3B"/>
    <w:rsid w:val="00891EC4"/>
    <w:rsid w:val="00893CA1"/>
    <w:rsid w:val="00894045"/>
    <w:rsid w:val="00894DA7"/>
    <w:rsid w:val="00897B88"/>
    <w:rsid w:val="008A0309"/>
    <w:rsid w:val="008A0C5D"/>
    <w:rsid w:val="008A12F7"/>
    <w:rsid w:val="008A364D"/>
    <w:rsid w:val="008A395B"/>
    <w:rsid w:val="008A43A6"/>
    <w:rsid w:val="008A48D6"/>
    <w:rsid w:val="008A4AE8"/>
    <w:rsid w:val="008A6127"/>
    <w:rsid w:val="008A6CE6"/>
    <w:rsid w:val="008B05BF"/>
    <w:rsid w:val="008B0737"/>
    <w:rsid w:val="008B07EC"/>
    <w:rsid w:val="008B195C"/>
    <w:rsid w:val="008B2883"/>
    <w:rsid w:val="008B3AF2"/>
    <w:rsid w:val="008B3DBA"/>
    <w:rsid w:val="008B685D"/>
    <w:rsid w:val="008B702A"/>
    <w:rsid w:val="008B71BB"/>
    <w:rsid w:val="008B7CBD"/>
    <w:rsid w:val="008C177B"/>
    <w:rsid w:val="008C2681"/>
    <w:rsid w:val="008C2B35"/>
    <w:rsid w:val="008C329F"/>
    <w:rsid w:val="008C3D46"/>
    <w:rsid w:val="008C60B9"/>
    <w:rsid w:val="008C627C"/>
    <w:rsid w:val="008C68BA"/>
    <w:rsid w:val="008C6A83"/>
    <w:rsid w:val="008C6D70"/>
    <w:rsid w:val="008C7156"/>
    <w:rsid w:val="008C7AB0"/>
    <w:rsid w:val="008D06E7"/>
    <w:rsid w:val="008D0CBA"/>
    <w:rsid w:val="008D2011"/>
    <w:rsid w:val="008D242D"/>
    <w:rsid w:val="008D3BE8"/>
    <w:rsid w:val="008D45E7"/>
    <w:rsid w:val="008D6570"/>
    <w:rsid w:val="008D764D"/>
    <w:rsid w:val="008D7B1A"/>
    <w:rsid w:val="008D7FBF"/>
    <w:rsid w:val="008E1C27"/>
    <w:rsid w:val="008E1CD3"/>
    <w:rsid w:val="008E1CEE"/>
    <w:rsid w:val="008E31A4"/>
    <w:rsid w:val="008E33D3"/>
    <w:rsid w:val="008E4965"/>
    <w:rsid w:val="008E6266"/>
    <w:rsid w:val="008E639D"/>
    <w:rsid w:val="008E6851"/>
    <w:rsid w:val="008E6FA6"/>
    <w:rsid w:val="008E71F0"/>
    <w:rsid w:val="008F009E"/>
    <w:rsid w:val="008F2050"/>
    <w:rsid w:val="008F214B"/>
    <w:rsid w:val="008F27A0"/>
    <w:rsid w:val="008F2A93"/>
    <w:rsid w:val="008F3049"/>
    <w:rsid w:val="008F342E"/>
    <w:rsid w:val="008F39CD"/>
    <w:rsid w:val="008F4DCE"/>
    <w:rsid w:val="008F506A"/>
    <w:rsid w:val="008F53E3"/>
    <w:rsid w:val="008F5E90"/>
    <w:rsid w:val="008F7DD2"/>
    <w:rsid w:val="00900A85"/>
    <w:rsid w:val="00900B18"/>
    <w:rsid w:val="00904404"/>
    <w:rsid w:val="00905425"/>
    <w:rsid w:val="00906D81"/>
    <w:rsid w:val="00906F24"/>
    <w:rsid w:val="00907926"/>
    <w:rsid w:val="00912891"/>
    <w:rsid w:val="00912F0F"/>
    <w:rsid w:val="0091512E"/>
    <w:rsid w:val="00915CA9"/>
    <w:rsid w:val="009211F4"/>
    <w:rsid w:val="00921674"/>
    <w:rsid w:val="009224A3"/>
    <w:rsid w:val="00923C0C"/>
    <w:rsid w:val="009244F5"/>
    <w:rsid w:val="00925495"/>
    <w:rsid w:val="009257A3"/>
    <w:rsid w:val="0092678B"/>
    <w:rsid w:val="00927E09"/>
    <w:rsid w:val="00930898"/>
    <w:rsid w:val="0093149D"/>
    <w:rsid w:val="0093229F"/>
    <w:rsid w:val="00932AF9"/>
    <w:rsid w:val="00932BDB"/>
    <w:rsid w:val="00933966"/>
    <w:rsid w:val="00933BCC"/>
    <w:rsid w:val="00933CA1"/>
    <w:rsid w:val="00935B26"/>
    <w:rsid w:val="009360C8"/>
    <w:rsid w:val="00937EB2"/>
    <w:rsid w:val="0094088D"/>
    <w:rsid w:val="009409D2"/>
    <w:rsid w:val="00941C61"/>
    <w:rsid w:val="00941DC7"/>
    <w:rsid w:val="00942B3B"/>
    <w:rsid w:val="00943659"/>
    <w:rsid w:val="009439B3"/>
    <w:rsid w:val="0094419E"/>
    <w:rsid w:val="00944A1C"/>
    <w:rsid w:val="00944D42"/>
    <w:rsid w:val="009454DE"/>
    <w:rsid w:val="00946874"/>
    <w:rsid w:val="00947485"/>
    <w:rsid w:val="00947C9F"/>
    <w:rsid w:val="00950416"/>
    <w:rsid w:val="009510A5"/>
    <w:rsid w:val="009511ED"/>
    <w:rsid w:val="00951671"/>
    <w:rsid w:val="0095184F"/>
    <w:rsid w:val="00952391"/>
    <w:rsid w:val="009524A4"/>
    <w:rsid w:val="00952816"/>
    <w:rsid w:val="00952C87"/>
    <w:rsid w:val="00954DF6"/>
    <w:rsid w:val="00954ED9"/>
    <w:rsid w:val="00955DD3"/>
    <w:rsid w:val="00955FB9"/>
    <w:rsid w:val="00956783"/>
    <w:rsid w:val="00961C65"/>
    <w:rsid w:val="00962AD4"/>
    <w:rsid w:val="00963436"/>
    <w:rsid w:val="009635E7"/>
    <w:rsid w:val="00963CC7"/>
    <w:rsid w:val="00964242"/>
    <w:rsid w:val="00965DE5"/>
    <w:rsid w:val="00965E69"/>
    <w:rsid w:val="0096698B"/>
    <w:rsid w:val="00966D01"/>
    <w:rsid w:val="00970480"/>
    <w:rsid w:val="00970CA4"/>
    <w:rsid w:val="009715F0"/>
    <w:rsid w:val="009719F4"/>
    <w:rsid w:val="0097200A"/>
    <w:rsid w:val="00972074"/>
    <w:rsid w:val="009726E4"/>
    <w:rsid w:val="0097285D"/>
    <w:rsid w:val="00972A19"/>
    <w:rsid w:val="00973248"/>
    <w:rsid w:val="00973267"/>
    <w:rsid w:val="00973655"/>
    <w:rsid w:val="00974199"/>
    <w:rsid w:val="00976BDA"/>
    <w:rsid w:val="00976F14"/>
    <w:rsid w:val="00977614"/>
    <w:rsid w:val="00980357"/>
    <w:rsid w:val="00981F58"/>
    <w:rsid w:val="00984268"/>
    <w:rsid w:val="00986E3B"/>
    <w:rsid w:val="00991C67"/>
    <w:rsid w:val="00992C5A"/>
    <w:rsid w:val="00995475"/>
    <w:rsid w:val="00995967"/>
    <w:rsid w:val="00995F4A"/>
    <w:rsid w:val="00995FC6"/>
    <w:rsid w:val="009966B1"/>
    <w:rsid w:val="00996868"/>
    <w:rsid w:val="00996FDC"/>
    <w:rsid w:val="009976BB"/>
    <w:rsid w:val="00997A7C"/>
    <w:rsid w:val="009A0A6E"/>
    <w:rsid w:val="009A0E4F"/>
    <w:rsid w:val="009A1F41"/>
    <w:rsid w:val="009A233F"/>
    <w:rsid w:val="009A27CC"/>
    <w:rsid w:val="009A2DB1"/>
    <w:rsid w:val="009A2DCE"/>
    <w:rsid w:val="009A2E74"/>
    <w:rsid w:val="009A2ECC"/>
    <w:rsid w:val="009A311B"/>
    <w:rsid w:val="009A3123"/>
    <w:rsid w:val="009A3211"/>
    <w:rsid w:val="009A4357"/>
    <w:rsid w:val="009A467C"/>
    <w:rsid w:val="009A4EC4"/>
    <w:rsid w:val="009A52D6"/>
    <w:rsid w:val="009A7866"/>
    <w:rsid w:val="009B0CEE"/>
    <w:rsid w:val="009B0E0A"/>
    <w:rsid w:val="009B12CE"/>
    <w:rsid w:val="009B130E"/>
    <w:rsid w:val="009B1CC7"/>
    <w:rsid w:val="009B20F9"/>
    <w:rsid w:val="009B322E"/>
    <w:rsid w:val="009B386B"/>
    <w:rsid w:val="009B47D6"/>
    <w:rsid w:val="009B68EC"/>
    <w:rsid w:val="009B7645"/>
    <w:rsid w:val="009B7664"/>
    <w:rsid w:val="009B7D6E"/>
    <w:rsid w:val="009C0653"/>
    <w:rsid w:val="009C0E21"/>
    <w:rsid w:val="009C1C7E"/>
    <w:rsid w:val="009C1D8F"/>
    <w:rsid w:val="009C2329"/>
    <w:rsid w:val="009C2403"/>
    <w:rsid w:val="009C2ADA"/>
    <w:rsid w:val="009C2E7D"/>
    <w:rsid w:val="009C306C"/>
    <w:rsid w:val="009C3A69"/>
    <w:rsid w:val="009C4B3B"/>
    <w:rsid w:val="009C4F1E"/>
    <w:rsid w:val="009C5653"/>
    <w:rsid w:val="009C7378"/>
    <w:rsid w:val="009D004F"/>
    <w:rsid w:val="009D0874"/>
    <w:rsid w:val="009D14EF"/>
    <w:rsid w:val="009D2A67"/>
    <w:rsid w:val="009D40A4"/>
    <w:rsid w:val="009D45BE"/>
    <w:rsid w:val="009D537B"/>
    <w:rsid w:val="009D5ABC"/>
    <w:rsid w:val="009D6CAE"/>
    <w:rsid w:val="009D719D"/>
    <w:rsid w:val="009D7456"/>
    <w:rsid w:val="009D7568"/>
    <w:rsid w:val="009E00CE"/>
    <w:rsid w:val="009E3211"/>
    <w:rsid w:val="009E3982"/>
    <w:rsid w:val="009E60EF"/>
    <w:rsid w:val="009E6671"/>
    <w:rsid w:val="009E76B7"/>
    <w:rsid w:val="009F3914"/>
    <w:rsid w:val="009F3FB4"/>
    <w:rsid w:val="009F530B"/>
    <w:rsid w:val="009F5E99"/>
    <w:rsid w:val="009F6733"/>
    <w:rsid w:val="009F7ADD"/>
    <w:rsid w:val="00A0010A"/>
    <w:rsid w:val="00A00162"/>
    <w:rsid w:val="00A003D6"/>
    <w:rsid w:val="00A00E6A"/>
    <w:rsid w:val="00A016FE"/>
    <w:rsid w:val="00A01D7B"/>
    <w:rsid w:val="00A022A4"/>
    <w:rsid w:val="00A034A9"/>
    <w:rsid w:val="00A04E5B"/>
    <w:rsid w:val="00A06AC9"/>
    <w:rsid w:val="00A108EE"/>
    <w:rsid w:val="00A10CE6"/>
    <w:rsid w:val="00A11D9F"/>
    <w:rsid w:val="00A11E88"/>
    <w:rsid w:val="00A124B9"/>
    <w:rsid w:val="00A12E7D"/>
    <w:rsid w:val="00A1392B"/>
    <w:rsid w:val="00A13E48"/>
    <w:rsid w:val="00A14272"/>
    <w:rsid w:val="00A14880"/>
    <w:rsid w:val="00A156A0"/>
    <w:rsid w:val="00A156AE"/>
    <w:rsid w:val="00A17614"/>
    <w:rsid w:val="00A1796E"/>
    <w:rsid w:val="00A17CD3"/>
    <w:rsid w:val="00A21149"/>
    <w:rsid w:val="00A21894"/>
    <w:rsid w:val="00A21F13"/>
    <w:rsid w:val="00A224FE"/>
    <w:rsid w:val="00A22BB8"/>
    <w:rsid w:val="00A22CE4"/>
    <w:rsid w:val="00A236F6"/>
    <w:rsid w:val="00A23B30"/>
    <w:rsid w:val="00A23B3E"/>
    <w:rsid w:val="00A23D43"/>
    <w:rsid w:val="00A2443F"/>
    <w:rsid w:val="00A2499B"/>
    <w:rsid w:val="00A24C9C"/>
    <w:rsid w:val="00A24E39"/>
    <w:rsid w:val="00A24FBF"/>
    <w:rsid w:val="00A251BC"/>
    <w:rsid w:val="00A2551E"/>
    <w:rsid w:val="00A256B0"/>
    <w:rsid w:val="00A269E9"/>
    <w:rsid w:val="00A26DA1"/>
    <w:rsid w:val="00A31CF1"/>
    <w:rsid w:val="00A3227B"/>
    <w:rsid w:val="00A323CD"/>
    <w:rsid w:val="00A3297D"/>
    <w:rsid w:val="00A332E1"/>
    <w:rsid w:val="00A342BB"/>
    <w:rsid w:val="00A3529D"/>
    <w:rsid w:val="00A35415"/>
    <w:rsid w:val="00A35C01"/>
    <w:rsid w:val="00A35C8E"/>
    <w:rsid w:val="00A36096"/>
    <w:rsid w:val="00A36646"/>
    <w:rsid w:val="00A36706"/>
    <w:rsid w:val="00A37531"/>
    <w:rsid w:val="00A37602"/>
    <w:rsid w:val="00A3777E"/>
    <w:rsid w:val="00A37808"/>
    <w:rsid w:val="00A379B9"/>
    <w:rsid w:val="00A41197"/>
    <w:rsid w:val="00A4243C"/>
    <w:rsid w:val="00A424E5"/>
    <w:rsid w:val="00A42747"/>
    <w:rsid w:val="00A42AB5"/>
    <w:rsid w:val="00A42FA7"/>
    <w:rsid w:val="00A4356F"/>
    <w:rsid w:val="00A43ADA"/>
    <w:rsid w:val="00A440CA"/>
    <w:rsid w:val="00A44BE9"/>
    <w:rsid w:val="00A45254"/>
    <w:rsid w:val="00A452DE"/>
    <w:rsid w:val="00A4680E"/>
    <w:rsid w:val="00A46D6E"/>
    <w:rsid w:val="00A50A4A"/>
    <w:rsid w:val="00A51483"/>
    <w:rsid w:val="00A51BD5"/>
    <w:rsid w:val="00A520DA"/>
    <w:rsid w:val="00A52A15"/>
    <w:rsid w:val="00A5336F"/>
    <w:rsid w:val="00A537C8"/>
    <w:rsid w:val="00A537D7"/>
    <w:rsid w:val="00A539D7"/>
    <w:rsid w:val="00A53EA9"/>
    <w:rsid w:val="00A53FF7"/>
    <w:rsid w:val="00A5570E"/>
    <w:rsid w:val="00A55844"/>
    <w:rsid w:val="00A564EA"/>
    <w:rsid w:val="00A565B7"/>
    <w:rsid w:val="00A56C5A"/>
    <w:rsid w:val="00A5788A"/>
    <w:rsid w:val="00A611D9"/>
    <w:rsid w:val="00A620AD"/>
    <w:rsid w:val="00A62EDB"/>
    <w:rsid w:val="00A6335A"/>
    <w:rsid w:val="00A633AB"/>
    <w:rsid w:val="00A64C8D"/>
    <w:rsid w:val="00A64FB5"/>
    <w:rsid w:val="00A66035"/>
    <w:rsid w:val="00A665E1"/>
    <w:rsid w:val="00A66F45"/>
    <w:rsid w:val="00A67227"/>
    <w:rsid w:val="00A67E86"/>
    <w:rsid w:val="00A719AD"/>
    <w:rsid w:val="00A72099"/>
    <w:rsid w:val="00A7219E"/>
    <w:rsid w:val="00A72EC0"/>
    <w:rsid w:val="00A73D33"/>
    <w:rsid w:val="00A73D5E"/>
    <w:rsid w:val="00A74250"/>
    <w:rsid w:val="00A74EFE"/>
    <w:rsid w:val="00A76AE7"/>
    <w:rsid w:val="00A76E9C"/>
    <w:rsid w:val="00A80037"/>
    <w:rsid w:val="00A80D05"/>
    <w:rsid w:val="00A80F7B"/>
    <w:rsid w:val="00A816AB"/>
    <w:rsid w:val="00A81C14"/>
    <w:rsid w:val="00A823B7"/>
    <w:rsid w:val="00A83903"/>
    <w:rsid w:val="00A843F4"/>
    <w:rsid w:val="00A84819"/>
    <w:rsid w:val="00A84F3D"/>
    <w:rsid w:val="00A8585E"/>
    <w:rsid w:val="00A85879"/>
    <w:rsid w:val="00A9206E"/>
    <w:rsid w:val="00A92D3E"/>
    <w:rsid w:val="00A93A88"/>
    <w:rsid w:val="00A9423F"/>
    <w:rsid w:val="00A959D2"/>
    <w:rsid w:val="00A9742C"/>
    <w:rsid w:val="00A97B8C"/>
    <w:rsid w:val="00A97CEC"/>
    <w:rsid w:val="00A97FDF"/>
    <w:rsid w:val="00AA069E"/>
    <w:rsid w:val="00AA0D8B"/>
    <w:rsid w:val="00AA1AF7"/>
    <w:rsid w:val="00AA280D"/>
    <w:rsid w:val="00AA3BD9"/>
    <w:rsid w:val="00AA40D7"/>
    <w:rsid w:val="00AA50E2"/>
    <w:rsid w:val="00AA6091"/>
    <w:rsid w:val="00AA7DA9"/>
    <w:rsid w:val="00AB0F6E"/>
    <w:rsid w:val="00AB1410"/>
    <w:rsid w:val="00AB1DF5"/>
    <w:rsid w:val="00AB31A1"/>
    <w:rsid w:val="00AB3528"/>
    <w:rsid w:val="00AB3D15"/>
    <w:rsid w:val="00AB4DA5"/>
    <w:rsid w:val="00AB693C"/>
    <w:rsid w:val="00AB70C1"/>
    <w:rsid w:val="00AB711C"/>
    <w:rsid w:val="00AB7336"/>
    <w:rsid w:val="00AB7B35"/>
    <w:rsid w:val="00AB7CB6"/>
    <w:rsid w:val="00AB7F13"/>
    <w:rsid w:val="00AC01E2"/>
    <w:rsid w:val="00AC0BCD"/>
    <w:rsid w:val="00AC280A"/>
    <w:rsid w:val="00AC4EA3"/>
    <w:rsid w:val="00AC661C"/>
    <w:rsid w:val="00AC6646"/>
    <w:rsid w:val="00AC7842"/>
    <w:rsid w:val="00AD02CA"/>
    <w:rsid w:val="00AD1053"/>
    <w:rsid w:val="00AD11A1"/>
    <w:rsid w:val="00AD2701"/>
    <w:rsid w:val="00AD2B35"/>
    <w:rsid w:val="00AD55BD"/>
    <w:rsid w:val="00AD5889"/>
    <w:rsid w:val="00AD5F56"/>
    <w:rsid w:val="00AD62C1"/>
    <w:rsid w:val="00AD6697"/>
    <w:rsid w:val="00AD7BFB"/>
    <w:rsid w:val="00AE023A"/>
    <w:rsid w:val="00AE09C6"/>
    <w:rsid w:val="00AE11BC"/>
    <w:rsid w:val="00AE1E51"/>
    <w:rsid w:val="00AE672F"/>
    <w:rsid w:val="00AE72F2"/>
    <w:rsid w:val="00AF3B2A"/>
    <w:rsid w:val="00AF673F"/>
    <w:rsid w:val="00AF68B4"/>
    <w:rsid w:val="00AF6BF6"/>
    <w:rsid w:val="00AF7440"/>
    <w:rsid w:val="00AF7A6C"/>
    <w:rsid w:val="00AF7ED0"/>
    <w:rsid w:val="00B00597"/>
    <w:rsid w:val="00B006B1"/>
    <w:rsid w:val="00B016BE"/>
    <w:rsid w:val="00B01AE0"/>
    <w:rsid w:val="00B01C76"/>
    <w:rsid w:val="00B01D1B"/>
    <w:rsid w:val="00B02044"/>
    <w:rsid w:val="00B02228"/>
    <w:rsid w:val="00B0434A"/>
    <w:rsid w:val="00B048A7"/>
    <w:rsid w:val="00B04B01"/>
    <w:rsid w:val="00B0596C"/>
    <w:rsid w:val="00B068F9"/>
    <w:rsid w:val="00B06CBB"/>
    <w:rsid w:val="00B1012E"/>
    <w:rsid w:val="00B10A6E"/>
    <w:rsid w:val="00B10CF2"/>
    <w:rsid w:val="00B10CFD"/>
    <w:rsid w:val="00B10D65"/>
    <w:rsid w:val="00B10E4F"/>
    <w:rsid w:val="00B1205F"/>
    <w:rsid w:val="00B12234"/>
    <w:rsid w:val="00B127AE"/>
    <w:rsid w:val="00B12BDD"/>
    <w:rsid w:val="00B13C5F"/>
    <w:rsid w:val="00B13D37"/>
    <w:rsid w:val="00B15830"/>
    <w:rsid w:val="00B159A9"/>
    <w:rsid w:val="00B1631E"/>
    <w:rsid w:val="00B172AD"/>
    <w:rsid w:val="00B176E4"/>
    <w:rsid w:val="00B201B8"/>
    <w:rsid w:val="00B2082B"/>
    <w:rsid w:val="00B20A7C"/>
    <w:rsid w:val="00B20C88"/>
    <w:rsid w:val="00B22DF1"/>
    <w:rsid w:val="00B23AC3"/>
    <w:rsid w:val="00B24752"/>
    <w:rsid w:val="00B249C8"/>
    <w:rsid w:val="00B25BE3"/>
    <w:rsid w:val="00B27213"/>
    <w:rsid w:val="00B27228"/>
    <w:rsid w:val="00B2776A"/>
    <w:rsid w:val="00B27B4A"/>
    <w:rsid w:val="00B305EE"/>
    <w:rsid w:val="00B32B41"/>
    <w:rsid w:val="00B3489E"/>
    <w:rsid w:val="00B34CFC"/>
    <w:rsid w:val="00B35418"/>
    <w:rsid w:val="00B3572A"/>
    <w:rsid w:val="00B37A1B"/>
    <w:rsid w:val="00B4116F"/>
    <w:rsid w:val="00B413F4"/>
    <w:rsid w:val="00B45F32"/>
    <w:rsid w:val="00B467BA"/>
    <w:rsid w:val="00B47367"/>
    <w:rsid w:val="00B506BC"/>
    <w:rsid w:val="00B50A70"/>
    <w:rsid w:val="00B52877"/>
    <w:rsid w:val="00B52C03"/>
    <w:rsid w:val="00B53F36"/>
    <w:rsid w:val="00B540C7"/>
    <w:rsid w:val="00B544D0"/>
    <w:rsid w:val="00B546CF"/>
    <w:rsid w:val="00B54868"/>
    <w:rsid w:val="00B54962"/>
    <w:rsid w:val="00B549E2"/>
    <w:rsid w:val="00B55BC9"/>
    <w:rsid w:val="00B568A5"/>
    <w:rsid w:val="00B57C1E"/>
    <w:rsid w:val="00B600B6"/>
    <w:rsid w:val="00B6061A"/>
    <w:rsid w:val="00B61CC1"/>
    <w:rsid w:val="00B62740"/>
    <w:rsid w:val="00B62946"/>
    <w:rsid w:val="00B63175"/>
    <w:rsid w:val="00B6349F"/>
    <w:rsid w:val="00B6369B"/>
    <w:rsid w:val="00B6379B"/>
    <w:rsid w:val="00B66225"/>
    <w:rsid w:val="00B66521"/>
    <w:rsid w:val="00B67024"/>
    <w:rsid w:val="00B67134"/>
    <w:rsid w:val="00B67392"/>
    <w:rsid w:val="00B6739C"/>
    <w:rsid w:val="00B67B8F"/>
    <w:rsid w:val="00B706E5"/>
    <w:rsid w:val="00B70950"/>
    <w:rsid w:val="00B70B99"/>
    <w:rsid w:val="00B70DA7"/>
    <w:rsid w:val="00B72D78"/>
    <w:rsid w:val="00B72DA5"/>
    <w:rsid w:val="00B7302F"/>
    <w:rsid w:val="00B73556"/>
    <w:rsid w:val="00B7414F"/>
    <w:rsid w:val="00B74864"/>
    <w:rsid w:val="00B75314"/>
    <w:rsid w:val="00B76468"/>
    <w:rsid w:val="00B801C9"/>
    <w:rsid w:val="00B80F22"/>
    <w:rsid w:val="00B83129"/>
    <w:rsid w:val="00B836F4"/>
    <w:rsid w:val="00B83DDA"/>
    <w:rsid w:val="00B83EAF"/>
    <w:rsid w:val="00B8492F"/>
    <w:rsid w:val="00B849E1"/>
    <w:rsid w:val="00B84E4D"/>
    <w:rsid w:val="00B85975"/>
    <w:rsid w:val="00B86205"/>
    <w:rsid w:val="00B870B6"/>
    <w:rsid w:val="00B8753C"/>
    <w:rsid w:val="00B87688"/>
    <w:rsid w:val="00B90371"/>
    <w:rsid w:val="00B91977"/>
    <w:rsid w:val="00B923F1"/>
    <w:rsid w:val="00B93810"/>
    <w:rsid w:val="00B93B03"/>
    <w:rsid w:val="00B93B26"/>
    <w:rsid w:val="00B94130"/>
    <w:rsid w:val="00B94594"/>
    <w:rsid w:val="00B9598F"/>
    <w:rsid w:val="00B965C0"/>
    <w:rsid w:val="00BA03C4"/>
    <w:rsid w:val="00BA0A5B"/>
    <w:rsid w:val="00BA0BA0"/>
    <w:rsid w:val="00BA192E"/>
    <w:rsid w:val="00BA1B89"/>
    <w:rsid w:val="00BA3153"/>
    <w:rsid w:val="00BA3C22"/>
    <w:rsid w:val="00BA4075"/>
    <w:rsid w:val="00BA6B01"/>
    <w:rsid w:val="00BA6C70"/>
    <w:rsid w:val="00BA7DD2"/>
    <w:rsid w:val="00BA7E19"/>
    <w:rsid w:val="00BB2B9A"/>
    <w:rsid w:val="00BB5880"/>
    <w:rsid w:val="00BB6344"/>
    <w:rsid w:val="00BB7147"/>
    <w:rsid w:val="00BB718F"/>
    <w:rsid w:val="00BB76ED"/>
    <w:rsid w:val="00BB799B"/>
    <w:rsid w:val="00BB7D60"/>
    <w:rsid w:val="00BC116F"/>
    <w:rsid w:val="00BC1765"/>
    <w:rsid w:val="00BC1ADA"/>
    <w:rsid w:val="00BC20D8"/>
    <w:rsid w:val="00BC2B8C"/>
    <w:rsid w:val="00BC54A7"/>
    <w:rsid w:val="00BC58B2"/>
    <w:rsid w:val="00BC6C05"/>
    <w:rsid w:val="00BC71E7"/>
    <w:rsid w:val="00BC7515"/>
    <w:rsid w:val="00BC7A67"/>
    <w:rsid w:val="00BD13C8"/>
    <w:rsid w:val="00BD1442"/>
    <w:rsid w:val="00BD147A"/>
    <w:rsid w:val="00BD185F"/>
    <w:rsid w:val="00BD242C"/>
    <w:rsid w:val="00BD41F9"/>
    <w:rsid w:val="00BD45CF"/>
    <w:rsid w:val="00BD46E8"/>
    <w:rsid w:val="00BD4922"/>
    <w:rsid w:val="00BD5E7D"/>
    <w:rsid w:val="00BD7861"/>
    <w:rsid w:val="00BE1371"/>
    <w:rsid w:val="00BE3DE5"/>
    <w:rsid w:val="00BE41AE"/>
    <w:rsid w:val="00BE47C1"/>
    <w:rsid w:val="00BE5A12"/>
    <w:rsid w:val="00BE61D0"/>
    <w:rsid w:val="00BE6A27"/>
    <w:rsid w:val="00BE71A4"/>
    <w:rsid w:val="00BE77D9"/>
    <w:rsid w:val="00BE7966"/>
    <w:rsid w:val="00BF09CC"/>
    <w:rsid w:val="00BF135C"/>
    <w:rsid w:val="00BF238C"/>
    <w:rsid w:val="00BF2520"/>
    <w:rsid w:val="00BF4B01"/>
    <w:rsid w:val="00BF6A4C"/>
    <w:rsid w:val="00BF6E5B"/>
    <w:rsid w:val="00BF710E"/>
    <w:rsid w:val="00C003F8"/>
    <w:rsid w:val="00C00FD6"/>
    <w:rsid w:val="00C01D59"/>
    <w:rsid w:val="00C02732"/>
    <w:rsid w:val="00C03712"/>
    <w:rsid w:val="00C04288"/>
    <w:rsid w:val="00C05759"/>
    <w:rsid w:val="00C07242"/>
    <w:rsid w:val="00C073BC"/>
    <w:rsid w:val="00C10299"/>
    <w:rsid w:val="00C1073F"/>
    <w:rsid w:val="00C10C7C"/>
    <w:rsid w:val="00C10C98"/>
    <w:rsid w:val="00C10E32"/>
    <w:rsid w:val="00C10F10"/>
    <w:rsid w:val="00C12DFF"/>
    <w:rsid w:val="00C13484"/>
    <w:rsid w:val="00C14FB4"/>
    <w:rsid w:val="00C16994"/>
    <w:rsid w:val="00C2139C"/>
    <w:rsid w:val="00C2174C"/>
    <w:rsid w:val="00C222E7"/>
    <w:rsid w:val="00C22533"/>
    <w:rsid w:val="00C237A1"/>
    <w:rsid w:val="00C23A7F"/>
    <w:rsid w:val="00C24E4B"/>
    <w:rsid w:val="00C25A7E"/>
    <w:rsid w:val="00C27193"/>
    <w:rsid w:val="00C27B7C"/>
    <w:rsid w:val="00C30362"/>
    <w:rsid w:val="00C340AD"/>
    <w:rsid w:val="00C35BA9"/>
    <w:rsid w:val="00C3606E"/>
    <w:rsid w:val="00C36B93"/>
    <w:rsid w:val="00C40045"/>
    <w:rsid w:val="00C428F4"/>
    <w:rsid w:val="00C42DC9"/>
    <w:rsid w:val="00C43162"/>
    <w:rsid w:val="00C44C52"/>
    <w:rsid w:val="00C44DE8"/>
    <w:rsid w:val="00C46F2F"/>
    <w:rsid w:val="00C47453"/>
    <w:rsid w:val="00C47688"/>
    <w:rsid w:val="00C47A0B"/>
    <w:rsid w:val="00C47AA3"/>
    <w:rsid w:val="00C503E6"/>
    <w:rsid w:val="00C5068D"/>
    <w:rsid w:val="00C515FD"/>
    <w:rsid w:val="00C541C7"/>
    <w:rsid w:val="00C544EB"/>
    <w:rsid w:val="00C551DA"/>
    <w:rsid w:val="00C5711D"/>
    <w:rsid w:val="00C5741A"/>
    <w:rsid w:val="00C60695"/>
    <w:rsid w:val="00C60DB2"/>
    <w:rsid w:val="00C6104B"/>
    <w:rsid w:val="00C61CAD"/>
    <w:rsid w:val="00C62145"/>
    <w:rsid w:val="00C62944"/>
    <w:rsid w:val="00C63917"/>
    <w:rsid w:val="00C642ED"/>
    <w:rsid w:val="00C64D38"/>
    <w:rsid w:val="00C671A4"/>
    <w:rsid w:val="00C676B7"/>
    <w:rsid w:val="00C67F69"/>
    <w:rsid w:val="00C704CA"/>
    <w:rsid w:val="00C70851"/>
    <w:rsid w:val="00C70B53"/>
    <w:rsid w:val="00C70D4D"/>
    <w:rsid w:val="00C72E46"/>
    <w:rsid w:val="00C7387B"/>
    <w:rsid w:val="00C74E9E"/>
    <w:rsid w:val="00C74FB5"/>
    <w:rsid w:val="00C77E8E"/>
    <w:rsid w:val="00C807DA"/>
    <w:rsid w:val="00C80D80"/>
    <w:rsid w:val="00C81877"/>
    <w:rsid w:val="00C8243F"/>
    <w:rsid w:val="00C826F5"/>
    <w:rsid w:val="00C831A4"/>
    <w:rsid w:val="00C83624"/>
    <w:rsid w:val="00C83CD0"/>
    <w:rsid w:val="00C843BB"/>
    <w:rsid w:val="00C853B3"/>
    <w:rsid w:val="00C858D3"/>
    <w:rsid w:val="00C86303"/>
    <w:rsid w:val="00C8758B"/>
    <w:rsid w:val="00C878E4"/>
    <w:rsid w:val="00C87C7A"/>
    <w:rsid w:val="00C914E0"/>
    <w:rsid w:val="00C92074"/>
    <w:rsid w:val="00C948D3"/>
    <w:rsid w:val="00C949A5"/>
    <w:rsid w:val="00C95081"/>
    <w:rsid w:val="00C9519B"/>
    <w:rsid w:val="00C97DAF"/>
    <w:rsid w:val="00CA0EE0"/>
    <w:rsid w:val="00CA237B"/>
    <w:rsid w:val="00CA3FCF"/>
    <w:rsid w:val="00CA432F"/>
    <w:rsid w:val="00CA59D5"/>
    <w:rsid w:val="00CA6610"/>
    <w:rsid w:val="00CA6AC8"/>
    <w:rsid w:val="00CB08ED"/>
    <w:rsid w:val="00CB0A15"/>
    <w:rsid w:val="00CB1479"/>
    <w:rsid w:val="00CB1F04"/>
    <w:rsid w:val="00CB2084"/>
    <w:rsid w:val="00CB239A"/>
    <w:rsid w:val="00CB2857"/>
    <w:rsid w:val="00CB29DF"/>
    <w:rsid w:val="00CB2A88"/>
    <w:rsid w:val="00CB2B68"/>
    <w:rsid w:val="00CB3010"/>
    <w:rsid w:val="00CB340C"/>
    <w:rsid w:val="00CB3799"/>
    <w:rsid w:val="00CB3A65"/>
    <w:rsid w:val="00CB4760"/>
    <w:rsid w:val="00CB4D42"/>
    <w:rsid w:val="00CB5EBD"/>
    <w:rsid w:val="00CB74CF"/>
    <w:rsid w:val="00CB7540"/>
    <w:rsid w:val="00CC0C61"/>
    <w:rsid w:val="00CC1763"/>
    <w:rsid w:val="00CC1D80"/>
    <w:rsid w:val="00CC26DF"/>
    <w:rsid w:val="00CC285F"/>
    <w:rsid w:val="00CC2A4F"/>
    <w:rsid w:val="00CC2BFC"/>
    <w:rsid w:val="00CC2FF0"/>
    <w:rsid w:val="00CC3167"/>
    <w:rsid w:val="00CC468E"/>
    <w:rsid w:val="00CC4B6C"/>
    <w:rsid w:val="00CC4CE9"/>
    <w:rsid w:val="00CC4CF6"/>
    <w:rsid w:val="00CC5557"/>
    <w:rsid w:val="00CC55A2"/>
    <w:rsid w:val="00CC66AE"/>
    <w:rsid w:val="00CC793E"/>
    <w:rsid w:val="00CD0AFF"/>
    <w:rsid w:val="00CD1B7F"/>
    <w:rsid w:val="00CD3667"/>
    <w:rsid w:val="00CD3A6F"/>
    <w:rsid w:val="00CD3E60"/>
    <w:rsid w:val="00CD570E"/>
    <w:rsid w:val="00CD5D75"/>
    <w:rsid w:val="00CD66EE"/>
    <w:rsid w:val="00CD7EFF"/>
    <w:rsid w:val="00CE0296"/>
    <w:rsid w:val="00CE0E9A"/>
    <w:rsid w:val="00CE1990"/>
    <w:rsid w:val="00CE1A5D"/>
    <w:rsid w:val="00CE1E80"/>
    <w:rsid w:val="00CE1F83"/>
    <w:rsid w:val="00CE39AD"/>
    <w:rsid w:val="00CE3FB6"/>
    <w:rsid w:val="00CE424A"/>
    <w:rsid w:val="00CE426E"/>
    <w:rsid w:val="00CE453E"/>
    <w:rsid w:val="00CE4545"/>
    <w:rsid w:val="00CE5DC9"/>
    <w:rsid w:val="00CE73AF"/>
    <w:rsid w:val="00CF06DD"/>
    <w:rsid w:val="00CF15FB"/>
    <w:rsid w:val="00CF1C41"/>
    <w:rsid w:val="00CF2D55"/>
    <w:rsid w:val="00CF407A"/>
    <w:rsid w:val="00CF5D02"/>
    <w:rsid w:val="00CF720F"/>
    <w:rsid w:val="00CF7A3D"/>
    <w:rsid w:val="00CF7CAA"/>
    <w:rsid w:val="00D00693"/>
    <w:rsid w:val="00D00B19"/>
    <w:rsid w:val="00D00DAA"/>
    <w:rsid w:val="00D00F9F"/>
    <w:rsid w:val="00D01C99"/>
    <w:rsid w:val="00D027E6"/>
    <w:rsid w:val="00D03AD0"/>
    <w:rsid w:val="00D043D3"/>
    <w:rsid w:val="00D04CFF"/>
    <w:rsid w:val="00D058BC"/>
    <w:rsid w:val="00D07767"/>
    <w:rsid w:val="00D11E5D"/>
    <w:rsid w:val="00D12ADB"/>
    <w:rsid w:val="00D13619"/>
    <w:rsid w:val="00D147EB"/>
    <w:rsid w:val="00D14B1C"/>
    <w:rsid w:val="00D15159"/>
    <w:rsid w:val="00D17D6B"/>
    <w:rsid w:val="00D20E9C"/>
    <w:rsid w:val="00D22339"/>
    <w:rsid w:val="00D225F0"/>
    <w:rsid w:val="00D23049"/>
    <w:rsid w:val="00D23550"/>
    <w:rsid w:val="00D23E40"/>
    <w:rsid w:val="00D25AE5"/>
    <w:rsid w:val="00D26D7A"/>
    <w:rsid w:val="00D2743A"/>
    <w:rsid w:val="00D274CE"/>
    <w:rsid w:val="00D276BD"/>
    <w:rsid w:val="00D27881"/>
    <w:rsid w:val="00D3177B"/>
    <w:rsid w:val="00D338E0"/>
    <w:rsid w:val="00D34796"/>
    <w:rsid w:val="00D35C0A"/>
    <w:rsid w:val="00D36466"/>
    <w:rsid w:val="00D3676C"/>
    <w:rsid w:val="00D36A04"/>
    <w:rsid w:val="00D37003"/>
    <w:rsid w:val="00D372F4"/>
    <w:rsid w:val="00D379E2"/>
    <w:rsid w:val="00D407CB"/>
    <w:rsid w:val="00D40C86"/>
    <w:rsid w:val="00D428F7"/>
    <w:rsid w:val="00D431E3"/>
    <w:rsid w:val="00D432DE"/>
    <w:rsid w:val="00D436B9"/>
    <w:rsid w:val="00D451B9"/>
    <w:rsid w:val="00D454A0"/>
    <w:rsid w:val="00D46004"/>
    <w:rsid w:val="00D46201"/>
    <w:rsid w:val="00D466E9"/>
    <w:rsid w:val="00D472AA"/>
    <w:rsid w:val="00D501E6"/>
    <w:rsid w:val="00D51BC0"/>
    <w:rsid w:val="00D525DD"/>
    <w:rsid w:val="00D52632"/>
    <w:rsid w:val="00D52C7F"/>
    <w:rsid w:val="00D53972"/>
    <w:rsid w:val="00D53CA3"/>
    <w:rsid w:val="00D53F97"/>
    <w:rsid w:val="00D54149"/>
    <w:rsid w:val="00D551EB"/>
    <w:rsid w:val="00D55827"/>
    <w:rsid w:val="00D56856"/>
    <w:rsid w:val="00D57EF0"/>
    <w:rsid w:val="00D60B8A"/>
    <w:rsid w:val="00D6111A"/>
    <w:rsid w:val="00D61165"/>
    <w:rsid w:val="00D6307F"/>
    <w:rsid w:val="00D65C71"/>
    <w:rsid w:val="00D65FD8"/>
    <w:rsid w:val="00D663CE"/>
    <w:rsid w:val="00D66884"/>
    <w:rsid w:val="00D66A15"/>
    <w:rsid w:val="00D66EC3"/>
    <w:rsid w:val="00D66F44"/>
    <w:rsid w:val="00D67149"/>
    <w:rsid w:val="00D67A19"/>
    <w:rsid w:val="00D71194"/>
    <w:rsid w:val="00D71964"/>
    <w:rsid w:val="00D71A45"/>
    <w:rsid w:val="00D72915"/>
    <w:rsid w:val="00D72FEE"/>
    <w:rsid w:val="00D75A55"/>
    <w:rsid w:val="00D75AED"/>
    <w:rsid w:val="00D81810"/>
    <w:rsid w:val="00D81A3A"/>
    <w:rsid w:val="00D81BD1"/>
    <w:rsid w:val="00D81CE7"/>
    <w:rsid w:val="00D824E1"/>
    <w:rsid w:val="00D82C03"/>
    <w:rsid w:val="00D8318D"/>
    <w:rsid w:val="00D83BD6"/>
    <w:rsid w:val="00D84669"/>
    <w:rsid w:val="00D847E3"/>
    <w:rsid w:val="00D84F57"/>
    <w:rsid w:val="00D85455"/>
    <w:rsid w:val="00D858F8"/>
    <w:rsid w:val="00D868AD"/>
    <w:rsid w:val="00D86FFE"/>
    <w:rsid w:val="00D8728C"/>
    <w:rsid w:val="00D90098"/>
    <w:rsid w:val="00D91A5E"/>
    <w:rsid w:val="00D920C8"/>
    <w:rsid w:val="00D928AD"/>
    <w:rsid w:val="00D92B51"/>
    <w:rsid w:val="00D92BF5"/>
    <w:rsid w:val="00D932F8"/>
    <w:rsid w:val="00D934F1"/>
    <w:rsid w:val="00D95204"/>
    <w:rsid w:val="00D95325"/>
    <w:rsid w:val="00D95385"/>
    <w:rsid w:val="00D95409"/>
    <w:rsid w:val="00D9545F"/>
    <w:rsid w:val="00D95514"/>
    <w:rsid w:val="00D95616"/>
    <w:rsid w:val="00D96667"/>
    <w:rsid w:val="00D9670C"/>
    <w:rsid w:val="00D96A87"/>
    <w:rsid w:val="00DA05C4"/>
    <w:rsid w:val="00DA16F0"/>
    <w:rsid w:val="00DA5D55"/>
    <w:rsid w:val="00DA648B"/>
    <w:rsid w:val="00DA65AD"/>
    <w:rsid w:val="00DA6C54"/>
    <w:rsid w:val="00DA79AD"/>
    <w:rsid w:val="00DA7FF7"/>
    <w:rsid w:val="00DB02B4"/>
    <w:rsid w:val="00DB0931"/>
    <w:rsid w:val="00DB1966"/>
    <w:rsid w:val="00DB2D07"/>
    <w:rsid w:val="00DB3719"/>
    <w:rsid w:val="00DB395B"/>
    <w:rsid w:val="00DB39C5"/>
    <w:rsid w:val="00DB5967"/>
    <w:rsid w:val="00DB60E5"/>
    <w:rsid w:val="00DB668B"/>
    <w:rsid w:val="00DB68D8"/>
    <w:rsid w:val="00DB6B2C"/>
    <w:rsid w:val="00DB6BAD"/>
    <w:rsid w:val="00DB703E"/>
    <w:rsid w:val="00DB7AC9"/>
    <w:rsid w:val="00DB7C1C"/>
    <w:rsid w:val="00DB7F52"/>
    <w:rsid w:val="00DC23C4"/>
    <w:rsid w:val="00DC2E9B"/>
    <w:rsid w:val="00DC3044"/>
    <w:rsid w:val="00DC467C"/>
    <w:rsid w:val="00DC48F7"/>
    <w:rsid w:val="00DC68EC"/>
    <w:rsid w:val="00DC6C42"/>
    <w:rsid w:val="00DC6CBC"/>
    <w:rsid w:val="00DC784C"/>
    <w:rsid w:val="00DC7C87"/>
    <w:rsid w:val="00DD0692"/>
    <w:rsid w:val="00DD0C85"/>
    <w:rsid w:val="00DD32BE"/>
    <w:rsid w:val="00DD3333"/>
    <w:rsid w:val="00DD45EA"/>
    <w:rsid w:val="00DD45FD"/>
    <w:rsid w:val="00DD4DE8"/>
    <w:rsid w:val="00DD67F3"/>
    <w:rsid w:val="00DD6AE9"/>
    <w:rsid w:val="00DD77F1"/>
    <w:rsid w:val="00DE006E"/>
    <w:rsid w:val="00DE1F12"/>
    <w:rsid w:val="00DE2949"/>
    <w:rsid w:val="00DE2BAE"/>
    <w:rsid w:val="00DE32C8"/>
    <w:rsid w:val="00DE3617"/>
    <w:rsid w:val="00DE6301"/>
    <w:rsid w:val="00DE6E16"/>
    <w:rsid w:val="00DE7693"/>
    <w:rsid w:val="00DE7ACE"/>
    <w:rsid w:val="00DF07AB"/>
    <w:rsid w:val="00DF09C5"/>
    <w:rsid w:val="00DF0C8D"/>
    <w:rsid w:val="00DF145C"/>
    <w:rsid w:val="00DF17F4"/>
    <w:rsid w:val="00DF3699"/>
    <w:rsid w:val="00DF396A"/>
    <w:rsid w:val="00DF40E4"/>
    <w:rsid w:val="00DF4F59"/>
    <w:rsid w:val="00DF71AF"/>
    <w:rsid w:val="00E00404"/>
    <w:rsid w:val="00E017F0"/>
    <w:rsid w:val="00E04061"/>
    <w:rsid w:val="00E050AB"/>
    <w:rsid w:val="00E059C9"/>
    <w:rsid w:val="00E06293"/>
    <w:rsid w:val="00E078E1"/>
    <w:rsid w:val="00E1130A"/>
    <w:rsid w:val="00E11692"/>
    <w:rsid w:val="00E11C0C"/>
    <w:rsid w:val="00E14FD2"/>
    <w:rsid w:val="00E15022"/>
    <w:rsid w:val="00E151E7"/>
    <w:rsid w:val="00E159E8"/>
    <w:rsid w:val="00E16140"/>
    <w:rsid w:val="00E165E0"/>
    <w:rsid w:val="00E17904"/>
    <w:rsid w:val="00E17FDB"/>
    <w:rsid w:val="00E20F26"/>
    <w:rsid w:val="00E2109F"/>
    <w:rsid w:val="00E212A3"/>
    <w:rsid w:val="00E214AA"/>
    <w:rsid w:val="00E21B01"/>
    <w:rsid w:val="00E21DF5"/>
    <w:rsid w:val="00E220B2"/>
    <w:rsid w:val="00E23DF2"/>
    <w:rsid w:val="00E259FE"/>
    <w:rsid w:val="00E27789"/>
    <w:rsid w:val="00E27D2C"/>
    <w:rsid w:val="00E33E16"/>
    <w:rsid w:val="00E3487B"/>
    <w:rsid w:val="00E348CD"/>
    <w:rsid w:val="00E35F2F"/>
    <w:rsid w:val="00E36035"/>
    <w:rsid w:val="00E36B09"/>
    <w:rsid w:val="00E37022"/>
    <w:rsid w:val="00E370CA"/>
    <w:rsid w:val="00E37AAC"/>
    <w:rsid w:val="00E404F9"/>
    <w:rsid w:val="00E413C7"/>
    <w:rsid w:val="00E41654"/>
    <w:rsid w:val="00E41B31"/>
    <w:rsid w:val="00E42414"/>
    <w:rsid w:val="00E43709"/>
    <w:rsid w:val="00E44432"/>
    <w:rsid w:val="00E44EE0"/>
    <w:rsid w:val="00E4509E"/>
    <w:rsid w:val="00E45A8F"/>
    <w:rsid w:val="00E46002"/>
    <w:rsid w:val="00E46374"/>
    <w:rsid w:val="00E509EB"/>
    <w:rsid w:val="00E50C41"/>
    <w:rsid w:val="00E51721"/>
    <w:rsid w:val="00E51753"/>
    <w:rsid w:val="00E52928"/>
    <w:rsid w:val="00E547EB"/>
    <w:rsid w:val="00E55DD8"/>
    <w:rsid w:val="00E55DDB"/>
    <w:rsid w:val="00E56311"/>
    <w:rsid w:val="00E5640C"/>
    <w:rsid w:val="00E573D4"/>
    <w:rsid w:val="00E60927"/>
    <w:rsid w:val="00E60C26"/>
    <w:rsid w:val="00E61D9B"/>
    <w:rsid w:val="00E629BE"/>
    <w:rsid w:val="00E62B2D"/>
    <w:rsid w:val="00E63584"/>
    <w:rsid w:val="00E642A4"/>
    <w:rsid w:val="00E64667"/>
    <w:rsid w:val="00E65FDB"/>
    <w:rsid w:val="00E66D1F"/>
    <w:rsid w:val="00E67201"/>
    <w:rsid w:val="00E678AB"/>
    <w:rsid w:val="00E7261E"/>
    <w:rsid w:val="00E7263B"/>
    <w:rsid w:val="00E72858"/>
    <w:rsid w:val="00E729C4"/>
    <w:rsid w:val="00E743C5"/>
    <w:rsid w:val="00E7662C"/>
    <w:rsid w:val="00E76834"/>
    <w:rsid w:val="00E76868"/>
    <w:rsid w:val="00E7724A"/>
    <w:rsid w:val="00E77BCD"/>
    <w:rsid w:val="00E8138B"/>
    <w:rsid w:val="00E815DB"/>
    <w:rsid w:val="00E81A85"/>
    <w:rsid w:val="00E81D01"/>
    <w:rsid w:val="00E81EE5"/>
    <w:rsid w:val="00E835CD"/>
    <w:rsid w:val="00E84131"/>
    <w:rsid w:val="00E84CE7"/>
    <w:rsid w:val="00E86D8B"/>
    <w:rsid w:val="00E873BF"/>
    <w:rsid w:val="00E87974"/>
    <w:rsid w:val="00E9038C"/>
    <w:rsid w:val="00E903BD"/>
    <w:rsid w:val="00E9096F"/>
    <w:rsid w:val="00E90ABA"/>
    <w:rsid w:val="00E92E6D"/>
    <w:rsid w:val="00E93B4C"/>
    <w:rsid w:val="00E94182"/>
    <w:rsid w:val="00E9486E"/>
    <w:rsid w:val="00E94A10"/>
    <w:rsid w:val="00E954BC"/>
    <w:rsid w:val="00E954E9"/>
    <w:rsid w:val="00E95D6B"/>
    <w:rsid w:val="00E96ADB"/>
    <w:rsid w:val="00E96B0D"/>
    <w:rsid w:val="00E96D63"/>
    <w:rsid w:val="00E97803"/>
    <w:rsid w:val="00E97A10"/>
    <w:rsid w:val="00E97EF7"/>
    <w:rsid w:val="00EA07A6"/>
    <w:rsid w:val="00EA09B3"/>
    <w:rsid w:val="00EA0E52"/>
    <w:rsid w:val="00EA1A0F"/>
    <w:rsid w:val="00EA1F9D"/>
    <w:rsid w:val="00EA216F"/>
    <w:rsid w:val="00EA23E6"/>
    <w:rsid w:val="00EA266D"/>
    <w:rsid w:val="00EA2D59"/>
    <w:rsid w:val="00EA3524"/>
    <w:rsid w:val="00EA4ED8"/>
    <w:rsid w:val="00EA4F6A"/>
    <w:rsid w:val="00EA652C"/>
    <w:rsid w:val="00EA7759"/>
    <w:rsid w:val="00EA7B63"/>
    <w:rsid w:val="00EB06A4"/>
    <w:rsid w:val="00EB0953"/>
    <w:rsid w:val="00EB27EF"/>
    <w:rsid w:val="00EB3AB0"/>
    <w:rsid w:val="00EB3FAC"/>
    <w:rsid w:val="00EB4058"/>
    <w:rsid w:val="00EB4380"/>
    <w:rsid w:val="00EB5CAB"/>
    <w:rsid w:val="00EB6904"/>
    <w:rsid w:val="00EB72ED"/>
    <w:rsid w:val="00EB7A92"/>
    <w:rsid w:val="00EC0F34"/>
    <w:rsid w:val="00EC1657"/>
    <w:rsid w:val="00EC170D"/>
    <w:rsid w:val="00EC2A7A"/>
    <w:rsid w:val="00EC409F"/>
    <w:rsid w:val="00EC4A9B"/>
    <w:rsid w:val="00EC4C2F"/>
    <w:rsid w:val="00EC4E05"/>
    <w:rsid w:val="00EC517C"/>
    <w:rsid w:val="00EC5A70"/>
    <w:rsid w:val="00EC7DD9"/>
    <w:rsid w:val="00ED058B"/>
    <w:rsid w:val="00ED2982"/>
    <w:rsid w:val="00ED3314"/>
    <w:rsid w:val="00ED3AE5"/>
    <w:rsid w:val="00ED41EB"/>
    <w:rsid w:val="00ED427E"/>
    <w:rsid w:val="00ED4525"/>
    <w:rsid w:val="00ED4B85"/>
    <w:rsid w:val="00ED5F70"/>
    <w:rsid w:val="00ED62B4"/>
    <w:rsid w:val="00ED6FF8"/>
    <w:rsid w:val="00ED7AFC"/>
    <w:rsid w:val="00ED7DF7"/>
    <w:rsid w:val="00EE013A"/>
    <w:rsid w:val="00EE06F8"/>
    <w:rsid w:val="00EE1F8D"/>
    <w:rsid w:val="00EE4187"/>
    <w:rsid w:val="00EE5038"/>
    <w:rsid w:val="00EE53D1"/>
    <w:rsid w:val="00EE6831"/>
    <w:rsid w:val="00EE6EA4"/>
    <w:rsid w:val="00EF01B4"/>
    <w:rsid w:val="00EF0DE0"/>
    <w:rsid w:val="00EF31D8"/>
    <w:rsid w:val="00EF35F3"/>
    <w:rsid w:val="00EF391B"/>
    <w:rsid w:val="00EF5968"/>
    <w:rsid w:val="00EF67CE"/>
    <w:rsid w:val="00EF6CA6"/>
    <w:rsid w:val="00EF7018"/>
    <w:rsid w:val="00EF7B80"/>
    <w:rsid w:val="00EF7FE8"/>
    <w:rsid w:val="00F00C4B"/>
    <w:rsid w:val="00F00E05"/>
    <w:rsid w:val="00F01CDB"/>
    <w:rsid w:val="00F01EEF"/>
    <w:rsid w:val="00F02553"/>
    <w:rsid w:val="00F02FFC"/>
    <w:rsid w:val="00F036B5"/>
    <w:rsid w:val="00F06262"/>
    <w:rsid w:val="00F068DB"/>
    <w:rsid w:val="00F071BB"/>
    <w:rsid w:val="00F07FD0"/>
    <w:rsid w:val="00F11691"/>
    <w:rsid w:val="00F1200D"/>
    <w:rsid w:val="00F12662"/>
    <w:rsid w:val="00F12813"/>
    <w:rsid w:val="00F12A1B"/>
    <w:rsid w:val="00F12B80"/>
    <w:rsid w:val="00F1342D"/>
    <w:rsid w:val="00F14069"/>
    <w:rsid w:val="00F156DE"/>
    <w:rsid w:val="00F16028"/>
    <w:rsid w:val="00F16066"/>
    <w:rsid w:val="00F17E2E"/>
    <w:rsid w:val="00F21615"/>
    <w:rsid w:val="00F23659"/>
    <w:rsid w:val="00F23F9E"/>
    <w:rsid w:val="00F250A0"/>
    <w:rsid w:val="00F250FE"/>
    <w:rsid w:val="00F2571D"/>
    <w:rsid w:val="00F25FFB"/>
    <w:rsid w:val="00F26579"/>
    <w:rsid w:val="00F26C1C"/>
    <w:rsid w:val="00F26F5E"/>
    <w:rsid w:val="00F278F6"/>
    <w:rsid w:val="00F3043A"/>
    <w:rsid w:val="00F3120E"/>
    <w:rsid w:val="00F3190D"/>
    <w:rsid w:val="00F3317C"/>
    <w:rsid w:val="00F33ED4"/>
    <w:rsid w:val="00F367A1"/>
    <w:rsid w:val="00F3726B"/>
    <w:rsid w:val="00F37680"/>
    <w:rsid w:val="00F40DF5"/>
    <w:rsid w:val="00F41039"/>
    <w:rsid w:val="00F410EC"/>
    <w:rsid w:val="00F4112B"/>
    <w:rsid w:val="00F41396"/>
    <w:rsid w:val="00F41B1B"/>
    <w:rsid w:val="00F42146"/>
    <w:rsid w:val="00F438BD"/>
    <w:rsid w:val="00F43AC1"/>
    <w:rsid w:val="00F44B0C"/>
    <w:rsid w:val="00F504F3"/>
    <w:rsid w:val="00F51916"/>
    <w:rsid w:val="00F52461"/>
    <w:rsid w:val="00F538FE"/>
    <w:rsid w:val="00F53F0A"/>
    <w:rsid w:val="00F55122"/>
    <w:rsid w:val="00F56672"/>
    <w:rsid w:val="00F56FE8"/>
    <w:rsid w:val="00F57342"/>
    <w:rsid w:val="00F57ABD"/>
    <w:rsid w:val="00F57CB4"/>
    <w:rsid w:val="00F60089"/>
    <w:rsid w:val="00F6058E"/>
    <w:rsid w:val="00F6064A"/>
    <w:rsid w:val="00F60DB7"/>
    <w:rsid w:val="00F613D6"/>
    <w:rsid w:val="00F618D7"/>
    <w:rsid w:val="00F618FB"/>
    <w:rsid w:val="00F6238E"/>
    <w:rsid w:val="00F6361A"/>
    <w:rsid w:val="00F63D9D"/>
    <w:rsid w:val="00F64DD4"/>
    <w:rsid w:val="00F64F9C"/>
    <w:rsid w:val="00F6618B"/>
    <w:rsid w:val="00F7043E"/>
    <w:rsid w:val="00F70875"/>
    <w:rsid w:val="00F70E5F"/>
    <w:rsid w:val="00F70EA2"/>
    <w:rsid w:val="00F71094"/>
    <w:rsid w:val="00F716D3"/>
    <w:rsid w:val="00F719A6"/>
    <w:rsid w:val="00F72507"/>
    <w:rsid w:val="00F72CD7"/>
    <w:rsid w:val="00F72FF0"/>
    <w:rsid w:val="00F73B32"/>
    <w:rsid w:val="00F73E1C"/>
    <w:rsid w:val="00F742EB"/>
    <w:rsid w:val="00F7568B"/>
    <w:rsid w:val="00F758E5"/>
    <w:rsid w:val="00F762E1"/>
    <w:rsid w:val="00F7677A"/>
    <w:rsid w:val="00F7708B"/>
    <w:rsid w:val="00F77F13"/>
    <w:rsid w:val="00F8031B"/>
    <w:rsid w:val="00F80467"/>
    <w:rsid w:val="00F812D8"/>
    <w:rsid w:val="00F82022"/>
    <w:rsid w:val="00F82036"/>
    <w:rsid w:val="00F83077"/>
    <w:rsid w:val="00F83C7A"/>
    <w:rsid w:val="00F83E37"/>
    <w:rsid w:val="00F842C7"/>
    <w:rsid w:val="00F85124"/>
    <w:rsid w:val="00F91F12"/>
    <w:rsid w:val="00F932D5"/>
    <w:rsid w:val="00F93BE2"/>
    <w:rsid w:val="00F94CAE"/>
    <w:rsid w:val="00F9500A"/>
    <w:rsid w:val="00F95602"/>
    <w:rsid w:val="00F97104"/>
    <w:rsid w:val="00F978CC"/>
    <w:rsid w:val="00FA1DD0"/>
    <w:rsid w:val="00FA23D6"/>
    <w:rsid w:val="00FA2A67"/>
    <w:rsid w:val="00FA2E5C"/>
    <w:rsid w:val="00FA32E0"/>
    <w:rsid w:val="00FA40CB"/>
    <w:rsid w:val="00FA4A7B"/>
    <w:rsid w:val="00FA5BAA"/>
    <w:rsid w:val="00FA5C60"/>
    <w:rsid w:val="00FA5D7D"/>
    <w:rsid w:val="00FA62D8"/>
    <w:rsid w:val="00FA7312"/>
    <w:rsid w:val="00FB1086"/>
    <w:rsid w:val="00FB16C1"/>
    <w:rsid w:val="00FB31DD"/>
    <w:rsid w:val="00FB41B6"/>
    <w:rsid w:val="00FB5BCF"/>
    <w:rsid w:val="00FB62C8"/>
    <w:rsid w:val="00FB63A6"/>
    <w:rsid w:val="00FB6593"/>
    <w:rsid w:val="00FB6946"/>
    <w:rsid w:val="00FB6EBB"/>
    <w:rsid w:val="00FB70BE"/>
    <w:rsid w:val="00FC0908"/>
    <w:rsid w:val="00FC0BD2"/>
    <w:rsid w:val="00FC3605"/>
    <w:rsid w:val="00FC4436"/>
    <w:rsid w:val="00FC5B0A"/>
    <w:rsid w:val="00FC5C66"/>
    <w:rsid w:val="00FC74C2"/>
    <w:rsid w:val="00FD015A"/>
    <w:rsid w:val="00FD0AE1"/>
    <w:rsid w:val="00FD13C2"/>
    <w:rsid w:val="00FD1E5C"/>
    <w:rsid w:val="00FD2750"/>
    <w:rsid w:val="00FD2DFD"/>
    <w:rsid w:val="00FD3600"/>
    <w:rsid w:val="00FD4044"/>
    <w:rsid w:val="00FD41DB"/>
    <w:rsid w:val="00FD4300"/>
    <w:rsid w:val="00FD49A7"/>
    <w:rsid w:val="00FD6936"/>
    <w:rsid w:val="00FE0689"/>
    <w:rsid w:val="00FE16C4"/>
    <w:rsid w:val="00FE16FE"/>
    <w:rsid w:val="00FE2230"/>
    <w:rsid w:val="00FE2A2E"/>
    <w:rsid w:val="00FE346E"/>
    <w:rsid w:val="00FE4AA6"/>
    <w:rsid w:val="00FE6298"/>
    <w:rsid w:val="00FE6345"/>
    <w:rsid w:val="00FE71FD"/>
    <w:rsid w:val="00FE7596"/>
    <w:rsid w:val="00FF03C6"/>
    <w:rsid w:val="00FF12ED"/>
    <w:rsid w:val="00FF13A5"/>
    <w:rsid w:val="00FF36A2"/>
    <w:rsid w:val="00FF48F0"/>
    <w:rsid w:val="00FF4B17"/>
    <w:rsid w:val="00FF5053"/>
    <w:rsid w:val="00FF6A6E"/>
    <w:rsid w:val="02017B58"/>
    <w:rsid w:val="023128A5"/>
    <w:rsid w:val="025D2470"/>
    <w:rsid w:val="02BF1210"/>
    <w:rsid w:val="02E071C6"/>
    <w:rsid w:val="032121AE"/>
    <w:rsid w:val="038E05E4"/>
    <w:rsid w:val="03CD394B"/>
    <w:rsid w:val="03CE35CB"/>
    <w:rsid w:val="03F97C93"/>
    <w:rsid w:val="05157166"/>
    <w:rsid w:val="05921FB2"/>
    <w:rsid w:val="059454B6"/>
    <w:rsid w:val="05FA4E5A"/>
    <w:rsid w:val="07123728"/>
    <w:rsid w:val="08631DD0"/>
    <w:rsid w:val="08647852"/>
    <w:rsid w:val="08F438BE"/>
    <w:rsid w:val="09184D77"/>
    <w:rsid w:val="0919027A"/>
    <w:rsid w:val="0919607C"/>
    <w:rsid w:val="0A742AB5"/>
    <w:rsid w:val="0AFA0790"/>
    <w:rsid w:val="0C337593"/>
    <w:rsid w:val="0C855D18"/>
    <w:rsid w:val="0C892520"/>
    <w:rsid w:val="0CA30B4B"/>
    <w:rsid w:val="0D4B0060"/>
    <w:rsid w:val="0D933666"/>
    <w:rsid w:val="0E3137D5"/>
    <w:rsid w:val="0E5C209B"/>
    <w:rsid w:val="0FDF0079"/>
    <w:rsid w:val="0FEC732E"/>
    <w:rsid w:val="10560F5C"/>
    <w:rsid w:val="10BA0C81"/>
    <w:rsid w:val="11321BC4"/>
    <w:rsid w:val="117748B7"/>
    <w:rsid w:val="12681C41"/>
    <w:rsid w:val="12A32D1F"/>
    <w:rsid w:val="12F7602D"/>
    <w:rsid w:val="12FD7F36"/>
    <w:rsid w:val="14DA178F"/>
    <w:rsid w:val="159A435B"/>
    <w:rsid w:val="160968B4"/>
    <w:rsid w:val="168B140C"/>
    <w:rsid w:val="169B5E23"/>
    <w:rsid w:val="16AD65E2"/>
    <w:rsid w:val="16C624EA"/>
    <w:rsid w:val="16CE09AA"/>
    <w:rsid w:val="177ED66F"/>
    <w:rsid w:val="1A3B5015"/>
    <w:rsid w:val="1B1D00AB"/>
    <w:rsid w:val="1CE407F6"/>
    <w:rsid w:val="1D135AC2"/>
    <w:rsid w:val="1D9E7C25"/>
    <w:rsid w:val="1E800217"/>
    <w:rsid w:val="1EA02CCB"/>
    <w:rsid w:val="1F0D587D"/>
    <w:rsid w:val="1F356970"/>
    <w:rsid w:val="1FAA6A00"/>
    <w:rsid w:val="1FE93F66"/>
    <w:rsid w:val="1FF79FA5"/>
    <w:rsid w:val="200A35A2"/>
    <w:rsid w:val="20EB4E0E"/>
    <w:rsid w:val="21830D2A"/>
    <w:rsid w:val="21885F91"/>
    <w:rsid w:val="22F53F69"/>
    <w:rsid w:val="232B0BC0"/>
    <w:rsid w:val="238E6495"/>
    <w:rsid w:val="240905AE"/>
    <w:rsid w:val="25916DB0"/>
    <w:rsid w:val="25CA498C"/>
    <w:rsid w:val="277F7BCA"/>
    <w:rsid w:val="27CF1BDE"/>
    <w:rsid w:val="28A87343"/>
    <w:rsid w:val="29160587"/>
    <w:rsid w:val="2AE87872"/>
    <w:rsid w:val="2AEB07F7"/>
    <w:rsid w:val="2B1839C1"/>
    <w:rsid w:val="2C341A92"/>
    <w:rsid w:val="2C7176F9"/>
    <w:rsid w:val="2C7460FF"/>
    <w:rsid w:val="2EA3508F"/>
    <w:rsid w:val="2FF75E39"/>
    <w:rsid w:val="30152D72"/>
    <w:rsid w:val="303F5355"/>
    <w:rsid w:val="307A4C95"/>
    <w:rsid w:val="30AA2486"/>
    <w:rsid w:val="317D1040"/>
    <w:rsid w:val="31D17CEA"/>
    <w:rsid w:val="323474E9"/>
    <w:rsid w:val="32E62B90"/>
    <w:rsid w:val="33C259F7"/>
    <w:rsid w:val="34EB1FE1"/>
    <w:rsid w:val="351A33A3"/>
    <w:rsid w:val="358878E1"/>
    <w:rsid w:val="360B4637"/>
    <w:rsid w:val="372C3815"/>
    <w:rsid w:val="37C10847"/>
    <w:rsid w:val="38704DA6"/>
    <w:rsid w:val="38DE53D9"/>
    <w:rsid w:val="39357910"/>
    <w:rsid w:val="39C34753"/>
    <w:rsid w:val="3A0B4B47"/>
    <w:rsid w:val="3A374711"/>
    <w:rsid w:val="3AC10DF2"/>
    <w:rsid w:val="3BF5376E"/>
    <w:rsid w:val="3CCB46CA"/>
    <w:rsid w:val="3E8E1DAD"/>
    <w:rsid w:val="3EBA810F"/>
    <w:rsid w:val="3EBB2C7C"/>
    <w:rsid w:val="3F59277A"/>
    <w:rsid w:val="3F5B1501"/>
    <w:rsid w:val="3F8D7751"/>
    <w:rsid w:val="3FDA7850"/>
    <w:rsid w:val="3FF22CF9"/>
    <w:rsid w:val="3FFA5B87"/>
    <w:rsid w:val="405F680D"/>
    <w:rsid w:val="40C21D4C"/>
    <w:rsid w:val="41710BEB"/>
    <w:rsid w:val="419B1A30"/>
    <w:rsid w:val="41C660F7"/>
    <w:rsid w:val="422C131F"/>
    <w:rsid w:val="43E775F7"/>
    <w:rsid w:val="4413593C"/>
    <w:rsid w:val="443D4582"/>
    <w:rsid w:val="447A0059"/>
    <w:rsid w:val="44F24FAA"/>
    <w:rsid w:val="455A14D6"/>
    <w:rsid w:val="45631DE6"/>
    <w:rsid w:val="45A75D52"/>
    <w:rsid w:val="461912A3"/>
    <w:rsid w:val="462A2AA8"/>
    <w:rsid w:val="486B42DC"/>
    <w:rsid w:val="48CB55FA"/>
    <w:rsid w:val="4947544C"/>
    <w:rsid w:val="494E5BD4"/>
    <w:rsid w:val="496B7702"/>
    <w:rsid w:val="499A27D0"/>
    <w:rsid w:val="49D74833"/>
    <w:rsid w:val="4A47036A"/>
    <w:rsid w:val="4A910178"/>
    <w:rsid w:val="4A9500E9"/>
    <w:rsid w:val="4BAF6637"/>
    <w:rsid w:val="4BC07BD6"/>
    <w:rsid w:val="4E0F0720"/>
    <w:rsid w:val="4E674E55"/>
    <w:rsid w:val="4F2833EB"/>
    <w:rsid w:val="4F4E362B"/>
    <w:rsid w:val="4F691EED"/>
    <w:rsid w:val="4FBD38DE"/>
    <w:rsid w:val="500B145F"/>
    <w:rsid w:val="50280D8F"/>
    <w:rsid w:val="5186674D"/>
    <w:rsid w:val="51ED2C7A"/>
    <w:rsid w:val="52241ACF"/>
    <w:rsid w:val="52720B48"/>
    <w:rsid w:val="53545A44"/>
    <w:rsid w:val="54211915"/>
    <w:rsid w:val="54BE77C8"/>
    <w:rsid w:val="54CA4B9F"/>
    <w:rsid w:val="5590756D"/>
    <w:rsid w:val="55EC1E85"/>
    <w:rsid w:val="55EF0C79"/>
    <w:rsid w:val="56440315"/>
    <w:rsid w:val="56AF3248"/>
    <w:rsid w:val="57435CBA"/>
    <w:rsid w:val="577D4B9A"/>
    <w:rsid w:val="58776FB0"/>
    <w:rsid w:val="593D5A74"/>
    <w:rsid w:val="59A2321A"/>
    <w:rsid w:val="59E81790"/>
    <w:rsid w:val="5B4403C8"/>
    <w:rsid w:val="5CA31609"/>
    <w:rsid w:val="5CE53377"/>
    <w:rsid w:val="5D361E7D"/>
    <w:rsid w:val="5DBDEE49"/>
    <w:rsid w:val="5E910E34"/>
    <w:rsid w:val="5EFF7F5E"/>
    <w:rsid w:val="5F6D531F"/>
    <w:rsid w:val="5FDB7B52"/>
    <w:rsid w:val="601D3E3E"/>
    <w:rsid w:val="60654232"/>
    <w:rsid w:val="606E2944"/>
    <w:rsid w:val="60B73DF3"/>
    <w:rsid w:val="60D34866"/>
    <w:rsid w:val="60D96770"/>
    <w:rsid w:val="60EA4058"/>
    <w:rsid w:val="614222D7"/>
    <w:rsid w:val="620F67EC"/>
    <w:rsid w:val="624102C0"/>
    <w:rsid w:val="62BD348D"/>
    <w:rsid w:val="62D841BE"/>
    <w:rsid w:val="62EF2E68"/>
    <w:rsid w:val="62EF9618"/>
    <w:rsid w:val="63195DA5"/>
    <w:rsid w:val="633213D5"/>
    <w:rsid w:val="64AC04E9"/>
    <w:rsid w:val="64E9279D"/>
    <w:rsid w:val="64FC5F3B"/>
    <w:rsid w:val="65775884"/>
    <w:rsid w:val="65811A17"/>
    <w:rsid w:val="65C53405"/>
    <w:rsid w:val="678B52EF"/>
    <w:rsid w:val="67F56F1D"/>
    <w:rsid w:val="68AE634B"/>
    <w:rsid w:val="68F25B3B"/>
    <w:rsid w:val="694A3FCB"/>
    <w:rsid w:val="698E123D"/>
    <w:rsid w:val="6A100511"/>
    <w:rsid w:val="6A9C00F5"/>
    <w:rsid w:val="6B21034E"/>
    <w:rsid w:val="6B773EE2"/>
    <w:rsid w:val="6C547446"/>
    <w:rsid w:val="6CF724D3"/>
    <w:rsid w:val="6D3632BC"/>
    <w:rsid w:val="6D6F471B"/>
    <w:rsid w:val="6D9E3F65"/>
    <w:rsid w:val="6E010407"/>
    <w:rsid w:val="6FE476A3"/>
    <w:rsid w:val="704F6D52"/>
    <w:rsid w:val="70A20B09"/>
    <w:rsid w:val="71733631"/>
    <w:rsid w:val="71A74D85"/>
    <w:rsid w:val="71ED1C76"/>
    <w:rsid w:val="71FF7992"/>
    <w:rsid w:val="728E17FF"/>
    <w:rsid w:val="735F8C55"/>
    <w:rsid w:val="736827E7"/>
    <w:rsid w:val="7377DCF5"/>
    <w:rsid w:val="73A14B3F"/>
    <w:rsid w:val="7553580B"/>
    <w:rsid w:val="76A34233"/>
    <w:rsid w:val="7733D670"/>
    <w:rsid w:val="77357F1F"/>
    <w:rsid w:val="77602068"/>
    <w:rsid w:val="78607A0C"/>
    <w:rsid w:val="786362F6"/>
    <w:rsid w:val="79BE31CC"/>
    <w:rsid w:val="79ED0498"/>
    <w:rsid w:val="7A271576"/>
    <w:rsid w:val="7BC13896"/>
    <w:rsid w:val="7C214BB4"/>
    <w:rsid w:val="7C276ABD"/>
    <w:rsid w:val="7CC86647"/>
    <w:rsid w:val="7CDB7866"/>
    <w:rsid w:val="7D2B3EB6"/>
    <w:rsid w:val="7D990F1D"/>
    <w:rsid w:val="7DB4D891"/>
    <w:rsid w:val="7E765088"/>
    <w:rsid w:val="7ECFF969"/>
    <w:rsid w:val="7FFDB1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FEFB5"/>
  <w15:docId w15:val="{EE5714F0-3C7A-46C7-BB11-6D5196154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qFormat="1"/>
    <w:lsdException w:name="envelope return" w:qFormat="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qFormat="1"/>
    <w:lsdException w:name="table of authorities" w:semiHidden="1" w:qFormat="1"/>
    <w:lsdException w:name="macro" w:semiHidden="1" w:unhideWhenUsed="1"/>
    <w:lsdException w:name="toa heading" w:semiHidden="1" w:qFormat="1"/>
    <w:lsdException w:name="List" w:qFormat="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qFormat="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link w:val="10"/>
    <w:qFormat/>
    <w:pPr>
      <w:keepNext/>
      <w:keepLines/>
      <w:numPr>
        <w:numId w:val="1"/>
      </w:numPr>
      <w:spacing w:before="340" w:after="330" w:line="576" w:lineRule="auto"/>
      <w:outlineLvl w:val="0"/>
    </w:pPr>
    <w:rPr>
      <w:b/>
      <w:bCs/>
      <w:kern w:val="44"/>
      <w:sz w:val="44"/>
      <w:szCs w:val="44"/>
    </w:rPr>
  </w:style>
  <w:style w:type="paragraph" w:styleId="21">
    <w:name w:val="heading 2"/>
    <w:basedOn w:val="a1"/>
    <w:next w:val="a1"/>
    <w:link w:val="22"/>
    <w:qFormat/>
    <w:pPr>
      <w:keepNext/>
      <w:keepLines/>
      <w:numPr>
        <w:ilvl w:val="1"/>
        <w:numId w:val="1"/>
      </w:numPr>
      <w:tabs>
        <w:tab w:val="left" w:pos="3835"/>
      </w:tabs>
      <w:spacing w:before="260" w:after="260" w:line="415" w:lineRule="auto"/>
      <w:outlineLvl w:val="1"/>
    </w:pPr>
    <w:rPr>
      <w:rFonts w:ascii="Arial" w:eastAsia="黑体" w:hAnsi="Arial"/>
      <w:b/>
      <w:bCs/>
      <w:kern w:val="0"/>
      <w:sz w:val="32"/>
      <w:szCs w:val="32"/>
    </w:rPr>
  </w:style>
  <w:style w:type="paragraph" w:styleId="3">
    <w:name w:val="heading 3"/>
    <w:basedOn w:val="a1"/>
    <w:next w:val="a1"/>
    <w:link w:val="30"/>
    <w:qFormat/>
    <w:pPr>
      <w:keepNext/>
      <w:keepLines/>
      <w:numPr>
        <w:ilvl w:val="2"/>
        <w:numId w:val="1"/>
      </w:numPr>
      <w:tabs>
        <w:tab w:val="clear" w:pos="720"/>
        <w:tab w:val="left" w:pos="3835"/>
      </w:tabs>
      <w:spacing w:before="260" w:after="260" w:line="415" w:lineRule="auto"/>
      <w:outlineLvl w:val="2"/>
    </w:pPr>
    <w:rPr>
      <w:b/>
      <w:bCs/>
      <w:kern w:val="0"/>
      <w:sz w:val="32"/>
      <w:szCs w:val="32"/>
    </w:rPr>
  </w:style>
  <w:style w:type="paragraph" w:styleId="4">
    <w:name w:val="heading 4"/>
    <w:basedOn w:val="a1"/>
    <w:next w:val="a1"/>
    <w:link w:val="40"/>
    <w:qFormat/>
    <w:pPr>
      <w:keepNext/>
      <w:keepLines/>
      <w:numPr>
        <w:ilvl w:val="3"/>
        <w:numId w:val="1"/>
      </w:numPr>
      <w:tabs>
        <w:tab w:val="clear" w:pos="864"/>
        <w:tab w:val="left" w:pos="3835"/>
      </w:tabs>
      <w:autoSpaceDE w:val="0"/>
      <w:autoSpaceDN w:val="0"/>
      <w:adjustRightInd w:val="0"/>
      <w:spacing w:before="280" w:after="290" w:line="374" w:lineRule="auto"/>
      <w:outlineLvl w:val="3"/>
    </w:pPr>
    <w:rPr>
      <w:rFonts w:ascii="Arial" w:eastAsia="黑体" w:hAnsi="Arial"/>
      <w:b/>
      <w:kern w:val="0"/>
      <w:sz w:val="28"/>
      <w:szCs w:val="20"/>
    </w:rPr>
  </w:style>
  <w:style w:type="paragraph" w:styleId="5">
    <w:name w:val="heading 5"/>
    <w:basedOn w:val="a1"/>
    <w:next w:val="a1"/>
    <w:link w:val="50"/>
    <w:qFormat/>
    <w:pPr>
      <w:keepNext/>
      <w:keepLines/>
      <w:numPr>
        <w:ilvl w:val="4"/>
        <w:numId w:val="1"/>
      </w:numPr>
      <w:tabs>
        <w:tab w:val="clear" w:pos="1008"/>
        <w:tab w:val="left" w:pos="3835"/>
      </w:tabs>
      <w:autoSpaceDE w:val="0"/>
      <w:autoSpaceDN w:val="0"/>
      <w:adjustRightInd w:val="0"/>
      <w:spacing w:before="280" w:after="290" w:line="374" w:lineRule="auto"/>
      <w:outlineLvl w:val="4"/>
    </w:pPr>
    <w:rPr>
      <w:rFonts w:ascii="宋体"/>
      <w:b/>
      <w:kern w:val="0"/>
      <w:sz w:val="28"/>
      <w:szCs w:val="20"/>
    </w:rPr>
  </w:style>
  <w:style w:type="paragraph" w:styleId="6">
    <w:name w:val="heading 6"/>
    <w:basedOn w:val="a1"/>
    <w:next w:val="a1"/>
    <w:link w:val="60"/>
    <w:qFormat/>
    <w:pPr>
      <w:keepNext/>
      <w:keepLines/>
      <w:numPr>
        <w:ilvl w:val="5"/>
        <w:numId w:val="1"/>
      </w:numPr>
      <w:tabs>
        <w:tab w:val="clear" w:pos="1152"/>
        <w:tab w:val="left" w:pos="3835"/>
      </w:tabs>
      <w:autoSpaceDE w:val="0"/>
      <w:autoSpaceDN w:val="0"/>
      <w:adjustRightInd w:val="0"/>
      <w:spacing w:before="240" w:after="64" w:line="319" w:lineRule="auto"/>
      <w:outlineLvl w:val="5"/>
    </w:pPr>
    <w:rPr>
      <w:rFonts w:ascii="Arial" w:eastAsia="黑体" w:hAnsi="Arial"/>
      <w:b/>
      <w:kern w:val="0"/>
      <w:sz w:val="24"/>
      <w:szCs w:val="20"/>
    </w:rPr>
  </w:style>
  <w:style w:type="paragraph" w:styleId="7">
    <w:name w:val="heading 7"/>
    <w:basedOn w:val="a1"/>
    <w:next w:val="a1"/>
    <w:link w:val="70"/>
    <w:qFormat/>
    <w:pPr>
      <w:keepNext/>
      <w:keepLines/>
      <w:numPr>
        <w:ilvl w:val="6"/>
        <w:numId w:val="1"/>
      </w:numPr>
      <w:tabs>
        <w:tab w:val="clear" w:pos="1296"/>
        <w:tab w:val="left" w:pos="3835"/>
      </w:tabs>
      <w:autoSpaceDE w:val="0"/>
      <w:autoSpaceDN w:val="0"/>
      <w:adjustRightInd w:val="0"/>
      <w:spacing w:before="240" w:after="64" w:line="319" w:lineRule="auto"/>
      <w:outlineLvl w:val="6"/>
    </w:pPr>
    <w:rPr>
      <w:rFonts w:ascii="宋体"/>
      <w:b/>
      <w:kern w:val="0"/>
      <w:sz w:val="24"/>
      <w:szCs w:val="20"/>
    </w:rPr>
  </w:style>
  <w:style w:type="paragraph" w:styleId="8">
    <w:name w:val="heading 8"/>
    <w:basedOn w:val="a1"/>
    <w:next w:val="a1"/>
    <w:link w:val="80"/>
    <w:qFormat/>
    <w:pPr>
      <w:keepNext/>
      <w:keepLines/>
      <w:numPr>
        <w:ilvl w:val="7"/>
        <w:numId w:val="1"/>
      </w:numPr>
      <w:tabs>
        <w:tab w:val="clear" w:pos="1440"/>
        <w:tab w:val="left" w:pos="3835"/>
      </w:tabs>
      <w:autoSpaceDE w:val="0"/>
      <w:autoSpaceDN w:val="0"/>
      <w:adjustRightInd w:val="0"/>
      <w:spacing w:before="240" w:after="64" w:line="319" w:lineRule="auto"/>
      <w:outlineLvl w:val="7"/>
    </w:pPr>
    <w:rPr>
      <w:rFonts w:ascii="Arial" w:eastAsia="黑体" w:hAnsi="Arial"/>
      <w:kern w:val="0"/>
      <w:sz w:val="24"/>
      <w:szCs w:val="20"/>
    </w:rPr>
  </w:style>
  <w:style w:type="paragraph" w:styleId="9">
    <w:name w:val="heading 9"/>
    <w:basedOn w:val="a1"/>
    <w:next w:val="a1"/>
    <w:link w:val="90"/>
    <w:qFormat/>
    <w:pPr>
      <w:keepNext/>
      <w:keepLines/>
      <w:numPr>
        <w:ilvl w:val="8"/>
        <w:numId w:val="1"/>
      </w:numPr>
      <w:tabs>
        <w:tab w:val="clear" w:pos="1584"/>
        <w:tab w:val="left" w:pos="3835"/>
      </w:tabs>
      <w:autoSpaceDE w:val="0"/>
      <w:autoSpaceDN w:val="0"/>
      <w:adjustRightInd w:val="0"/>
      <w:spacing w:before="240" w:after="64" w:line="319" w:lineRule="auto"/>
      <w:outlineLvl w:val="8"/>
    </w:pPr>
    <w:rPr>
      <w:rFonts w:ascii="Arial" w:eastAsia="黑体" w:hAnsi="Arial"/>
      <w:kern w:val="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TOC7">
    <w:name w:val="toc 7"/>
    <w:basedOn w:val="a1"/>
    <w:next w:val="a1"/>
    <w:uiPriority w:val="39"/>
    <w:qFormat/>
    <w:pPr>
      <w:ind w:left="1050"/>
      <w:jc w:val="left"/>
    </w:pPr>
    <w:rPr>
      <w:rFonts w:ascii="Calibri" w:hAnsi="Calibri"/>
      <w:sz w:val="20"/>
      <w:szCs w:val="20"/>
    </w:rPr>
  </w:style>
  <w:style w:type="paragraph" w:styleId="a5">
    <w:name w:val="table of authorities"/>
    <w:basedOn w:val="AONormal"/>
    <w:next w:val="a1"/>
    <w:semiHidden/>
    <w:qFormat/>
    <w:pPr>
      <w:tabs>
        <w:tab w:val="right" w:leader="dot" w:pos="9490"/>
      </w:tabs>
      <w:spacing w:before="240" w:line="240" w:lineRule="auto"/>
      <w:ind w:left="720" w:hanging="720"/>
    </w:pPr>
  </w:style>
  <w:style w:type="paragraph" w:customStyle="1" w:styleId="AONormal">
    <w:name w:val="AONormal"/>
    <w:qFormat/>
    <w:pPr>
      <w:spacing w:line="260" w:lineRule="atLeast"/>
    </w:pPr>
    <w:rPr>
      <w:sz w:val="22"/>
      <w:szCs w:val="22"/>
      <w:lang w:eastAsia="en-US"/>
    </w:rPr>
  </w:style>
  <w:style w:type="paragraph" w:styleId="a6">
    <w:name w:val="E-mail Signature"/>
    <w:basedOn w:val="a1"/>
    <w:link w:val="a7"/>
    <w:qFormat/>
    <w:pPr>
      <w:widowControl/>
    </w:pPr>
    <w:rPr>
      <w:kern w:val="0"/>
      <w:sz w:val="20"/>
      <w:szCs w:val="21"/>
    </w:rPr>
  </w:style>
  <w:style w:type="paragraph" w:styleId="a">
    <w:name w:val="List Number"/>
    <w:basedOn w:val="a8"/>
    <w:qFormat/>
    <w:pPr>
      <w:numPr>
        <w:numId w:val="2"/>
      </w:numPr>
      <w:ind w:right="720"/>
    </w:pPr>
  </w:style>
  <w:style w:type="paragraph" w:styleId="a8">
    <w:name w:val="List"/>
    <w:basedOn w:val="a9"/>
    <w:qFormat/>
    <w:pPr>
      <w:widowControl/>
      <w:spacing w:after="240" w:line="240" w:lineRule="atLeast"/>
      <w:ind w:left="720" w:hanging="360"/>
      <w:jc w:val="left"/>
    </w:pPr>
    <w:rPr>
      <w:rFonts w:eastAsia="PMingLiU"/>
      <w:szCs w:val="20"/>
      <w:lang w:eastAsia="en-US"/>
    </w:rPr>
  </w:style>
  <w:style w:type="paragraph" w:styleId="a9">
    <w:name w:val="Body Text"/>
    <w:basedOn w:val="a1"/>
    <w:link w:val="aa"/>
    <w:qFormat/>
    <w:pPr>
      <w:spacing w:line="360" w:lineRule="auto"/>
    </w:pPr>
    <w:rPr>
      <w:kern w:val="0"/>
      <w:sz w:val="24"/>
    </w:rPr>
  </w:style>
  <w:style w:type="paragraph" w:styleId="ab">
    <w:name w:val="Normal Indent"/>
    <w:basedOn w:val="a1"/>
    <w:qFormat/>
    <w:pPr>
      <w:ind w:firstLine="420"/>
    </w:pPr>
    <w:rPr>
      <w:szCs w:val="20"/>
    </w:rPr>
  </w:style>
  <w:style w:type="paragraph" w:styleId="ac">
    <w:name w:val="caption"/>
    <w:basedOn w:val="a1"/>
    <w:next w:val="a1"/>
    <w:qFormat/>
    <w:pPr>
      <w:adjustRightInd w:val="0"/>
      <w:spacing w:before="152" w:after="160" w:line="360" w:lineRule="auto"/>
      <w:ind w:firstLineChars="200" w:firstLine="567"/>
    </w:pPr>
    <w:rPr>
      <w:rFonts w:ascii="Arial" w:eastAsia="黑体" w:hAnsi="Arial"/>
      <w:sz w:val="24"/>
      <w:szCs w:val="20"/>
    </w:rPr>
  </w:style>
  <w:style w:type="paragraph" w:styleId="a0">
    <w:name w:val="List Bullet"/>
    <w:basedOn w:val="a8"/>
    <w:qFormat/>
    <w:pPr>
      <w:numPr>
        <w:numId w:val="3"/>
      </w:numPr>
      <w:ind w:right="720"/>
    </w:pPr>
  </w:style>
  <w:style w:type="paragraph" w:styleId="ad">
    <w:name w:val="envelope address"/>
    <w:basedOn w:val="a1"/>
    <w:qFormat/>
    <w:pPr>
      <w:framePr w:w="7920" w:h="1980" w:hRule="exact" w:hSpace="180" w:wrap="around" w:hAnchor="page" w:xAlign="center" w:yAlign="bottom"/>
      <w:ind w:left="2880"/>
    </w:pPr>
    <w:rPr>
      <w:rFonts w:cs="Arial"/>
      <w:szCs w:val="22"/>
    </w:rPr>
  </w:style>
  <w:style w:type="paragraph" w:styleId="ae">
    <w:name w:val="Document Map"/>
    <w:basedOn w:val="a1"/>
    <w:link w:val="af"/>
    <w:qFormat/>
    <w:pPr>
      <w:shd w:val="clear" w:color="auto" w:fill="000080"/>
    </w:pPr>
    <w:rPr>
      <w:kern w:val="0"/>
      <w:sz w:val="20"/>
    </w:rPr>
  </w:style>
  <w:style w:type="paragraph" w:styleId="af0">
    <w:name w:val="toa heading"/>
    <w:basedOn w:val="AONormal"/>
    <w:next w:val="a5"/>
    <w:semiHidden/>
    <w:qFormat/>
    <w:pPr>
      <w:tabs>
        <w:tab w:val="right" w:pos="9490"/>
      </w:tabs>
      <w:spacing w:before="240" w:after="120" w:line="240" w:lineRule="auto"/>
    </w:pPr>
    <w:rPr>
      <w:b/>
    </w:rPr>
  </w:style>
  <w:style w:type="paragraph" w:styleId="af1">
    <w:name w:val="annotation text"/>
    <w:basedOn w:val="a1"/>
    <w:link w:val="af2"/>
    <w:qFormat/>
    <w:pPr>
      <w:jc w:val="left"/>
    </w:pPr>
    <w:rPr>
      <w:kern w:val="0"/>
      <w:sz w:val="24"/>
      <w:szCs w:val="20"/>
    </w:rPr>
  </w:style>
  <w:style w:type="paragraph" w:styleId="31">
    <w:name w:val="Body Text 3"/>
    <w:basedOn w:val="a1"/>
    <w:link w:val="32"/>
    <w:qFormat/>
    <w:pPr>
      <w:autoSpaceDE w:val="0"/>
      <w:autoSpaceDN w:val="0"/>
      <w:adjustRightInd w:val="0"/>
      <w:spacing w:after="120" w:line="360" w:lineRule="auto"/>
    </w:pPr>
    <w:rPr>
      <w:kern w:val="0"/>
      <w:sz w:val="24"/>
      <w:szCs w:val="20"/>
      <w:u w:val="single"/>
    </w:rPr>
  </w:style>
  <w:style w:type="paragraph" w:styleId="af3">
    <w:name w:val="Body Text Indent"/>
    <w:basedOn w:val="a1"/>
    <w:link w:val="af4"/>
    <w:qFormat/>
    <w:pPr>
      <w:autoSpaceDE w:val="0"/>
      <w:autoSpaceDN w:val="0"/>
      <w:adjustRightInd w:val="0"/>
      <w:spacing w:after="120" w:line="440" w:lineRule="atLeast"/>
      <w:ind w:firstLine="539"/>
    </w:pPr>
    <w:rPr>
      <w:rFonts w:ascii="宋体"/>
      <w:kern w:val="0"/>
      <w:sz w:val="24"/>
      <w:szCs w:val="20"/>
    </w:rPr>
  </w:style>
  <w:style w:type="paragraph" w:styleId="TOC5">
    <w:name w:val="toc 5"/>
    <w:basedOn w:val="a1"/>
    <w:next w:val="a1"/>
    <w:uiPriority w:val="39"/>
    <w:qFormat/>
    <w:pPr>
      <w:ind w:left="630"/>
      <w:jc w:val="left"/>
    </w:pPr>
    <w:rPr>
      <w:rFonts w:ascii="Calibri" w:hAnsi="Calibri"/>
      <w:sz w:val="20"/>
      <w:szCs w:val="20"/>
    </w:rPr>
  </w:style>
  <w:style w:type="paragraph" w:styleId="TOC3">
    <w:name w:val="toc 3"/>
    <w:basedOn w:val="a1"/>
    <w:next w:val="a1"/>
    <w:uiPriority w:val="39"/>
    <w:qFormat/>
    <w:pPr>
      <w:ind w:left="210"/>
      <w:jc w:val="left"/>
    </w:pPr>
    <w:rPr>
      <w:rFonts w:ascii="Calibri" w:hAnsi="Calibri"/>
      <w:sz w:val="20"/>
      <w:szCs w:val="20"/>
    </w:rPr>
  </w:style>
  <w:style w:type="paragraph" w:styleId="af5">
    <w:name w:val="Plain Text"/>
    <w:basedOn w:val="a1"/>
    <w:link w:val="af6"/>
    <w:qFormat/>
    <w:rPr>
      <w:rFonts w:ascii="宋体" w:hAnsi="Courier New"/>
      <w:kern w:val="0"/>
      <w:sz w:val="20"/>
      <w:szCs w:val="20"/>
    </w:rPr>
  </w:style>
  <w:style w:type="paragraph" w:styleId="TOC8">
    <w:name w:val="toc 8"/>
    <w:basedOn w:val="a1"/>
    <w:next w:val="a1"/>
    <w:uiPriority w:val="39"/>
    <w:qFormat/>
    <w:pPr>
      <w:ind w:left="1260"/>
      <w:jc w:val="left"/>
    </w:pPr>
    <w:rPr>
      <w:rFonts w:ascii="Calibri" w:hAnsi="Calibri"/>
      <w:sz w:val="20"/>
      <w:szCs w:val="20"/>
    </w:rPr>
  </w:style>
  <w:style w:type="paragraph" w:styleId="af7">
    <w:name w:val="Date"/>
    <w:basedOn w:val="a1"/>
    <w:next w:val="a1"/>
    <w:link w:val="af8"/>
    <w:qFormat/>
    <w:pPr>
      <w:ind w:leftChars="2500" w:left="2500"/>
    </w:pPr>
    <w:rPr>
      <w:rFonts w:ascii="宋体" w:eastAsia="仿宋_GB2312" w:hAnsi="宋体"/>
      <w:kern w:val="0"/>
      <w:sz w:val="28"/>
    </w:rPr>
  </w:style>
  <w:style w:type="paragraph" w:styleId="23">
    <w:name w:val="Body Text Indent 2"/>
    <w:basedOn w:val="a1"/>
    <w:link w:val="24"/>
    <w:qFormat/>
    <w:pPr>
      <w:spacing w:line="360" w:lineRule="auto"/>
      <w:ind w:firstLineChars="200" w:firstLine="560"/>
    </w:pPr>
    <w:rPr>
      <w:rFonts w:eastAsia="仿宋_GB2312"/>
      <w:kern w:val="0"/>
      <w:sz w:val="28"/>
    </w:rPr>
  </w:style>
  <w:style w:type="paragraph" w:styleId="af9">
    <w:name w:val="endnote text"/>
    <w:basedOn w:val="AONormal"/>
    <w:link w:val="afa"/>
    <w:semiHidden/>
    <w:qFormat/>
    <w:pPr>
      <w:spacing w:line="240" w:lineRule="auto"/>
      <w:ind w:left="720" w:hanging="720"/>
    </w:pPr>
    <w:rPr>
      <w:sz w:val="16"/>
      <w:szCs w:val="20"/>
    </w:rPr>
  </w:style>
  <w:style w:type="paragraph" w:styleId="afb">
    <w:name w:val="Balloon Text"/>
    <w:basedOn w:val="a1"/>
    <w:link w:val="afc"/>
    <w:qFormat/>
    <w:rPr>
      <w:kern w:val="0"/>
      <w:sz w:val="18"/>
      <w:szCs w:val="18"/>
    </w:rPr>
  </w:style>
  <w:style w:type="paragraph" w:styleId="afd">
    <w:name w:val="footer"/>
    <w:basedOn w:val="a1"/>
    <w:link w:val="afe"/>
    <w:uiPriority w:val="99"/>
    <w:qFormat/>
    <w:pPr>
      <w:tabs>
        <w:tab w:val="center" w:pos="4153"/>
        <w:tab w:val="right" w:pos="8306"/>
      </w:tabs>
      <w:snapToGrid w:val="0"/>
      <w:jc w:val="left"/>
    </w:pPr>
    <w:rPr>
      <w:kern w:val="0"/>
      <w:sz w:val="18"/>
      <w:szCs w:val="18"/>
    </w:rPr>
  </w:style>
  <w:style w:type="paragraph" w:styleId="aff">
    <w:name w:val="envelope return"/>
    <w:basedOn w:val="a1"/>
    <w:qFormat/>
    <w:rPr>
      <w:rFonts w:cs="Arial"/>
      <w:sz w:val="20"/>
    </w:rPr>
  </w:style>
  <w:style w:type="paragraph" w:styleId="aff0">
    <w:name w:val="header"/>
    <w:basedOn w:val="a1"/>
    <w:link w:val="aff1"/>
    <w:uiPriority w:val="99"/>
    <w:qFormat/>
    <w:pPr>
      <w:pBdr>
        <w:bottom w:val="single" w:sz="6" w:space="1" w:color="auto"/>
      </w:pBdr>
      <w:tabs>
        <w:tab w:val="center" w:pos="4153"/>
        <w:tab w:val="right" w:pos="8306"/>
      </w:tabs>
      <w:snapToGrid w:val="0"/>
      <w:jc w:val="center"/>
    </w:pPr>
    <w:rPr>
      <w:kern w:val="0"/>
      <w:sz w:val="18"/>
      <w:szCs w:val="18"/>
    </w:rPr>
  </w:style>
  <w:style w:type="paragraph" w:styleId="TOC1">
    <w:name w:val="toc 1"/>
    <w:basedOn w:val="a1"/>
    <w:next w:val="a1"/>
    <w:uiPriority w:val="39"/>
    <w:qFormat/>
    <w:pPr>
      <w:spacing w:before="360"/>
      <w:jc w:val="left"/>
    </w:pPr>
    <w:rPr>
      <w:rFonts w:ascii="Cambria" w:hAnsi="Cambria"/>
      <w:b/>
      <w:bCs/>
      <w:caps/>
      <w:sz w:val="24"/>
    </w:rPr>
  </w:style>
  <w:style w:type="paragraph" w:styleId="TOC4">
    <w:name w:val="toc 4"/>
    <w:basedOn w:val="a1"/>
    <w:next w:val="a1"/>
    <w:uiPriority w:val="39"/>
    <w:qFormat/>
    <w:pPr>
      <w:ind w:left="420"/>
      <w:jc w:val="left"/>
    </w:pPr>
    <w:rPr>
      <w:rFonts w:ascii="Calibri" w:hAnsi="Calibri"/>
      <w:sz w:val="20"/>
      <w:szCs w:val="20"/>
    </w:rPr>
  </w:style>
  <w:style w:type="paragraph" w:styleId="aff2">
    <w:name w:val="Subtitle"/>
    <w:basedOn w:val="21"/>
    <w:next w:val="3"/>
    <w:link w:val="aff3"/>
    <w:qFormat/>
    <w:pPr>
      <w:numPr>
        <w:numId w:val="0"/>
      </w:numPr>
      <w:tabs>
        <w:tab w:val="clear" w:pos="3835"/>
      </w:tabs>
      <w:spacing w:before="240" w:after="60" w:line="312" w:lineRule="auto"/>
      <w:jc w:val="left"/>
    </w:pPr>
    <w:rPr>
      <w:rFonts w:ascii="Cambria" w:eastAsia="宋体" w:hAnsi="Cambria"/>
      <w:bCs w:val="0"/>
      <w:kern w:val="28"/>
      <w:sz w:val="24"/>
    </w:rPr>
  </w:style>
  <w:style w:type="paragraph" w:styleId="aff4">
    <w:name w:val="footnote text"/>
    <w:basedOn w:val="a1"/>
    <w:link w:val="aff5"/>
    <w:qFormat/>
    <w:pPr>
      <w:snapToGrid w:val="0"/>
      <w:jc w:val="left"/>
    </w:pPr>
    <w:rPr>
      <w:kern w:val="0"/>
      <w:sz w:val="18"/>
      <w:szCs w:val="18"/>
    </w:rPr>
  </w:style>
  <w:style w:type="paragraph" w:styleId="TOC6">
    <w:name w:val="toc 6"/>
    <w:basedOn w:val="a1"/>
    <w:next w:val="a1"/>
    <w:uiPriority w:val="39"/>
    <w:qFormat/>
    <w:pPr>
      <w:ind w:left="840"/>
      <w:jc w:val="left"/>
    </w:pPr>
    <w:rPr>
      <w:rFonts w:ascii="Calibri" w:hAnsi="Calibri"/>
      <w:sz w:val="20"/>
      <w:szCs w:val="20"/>
    </w:rPr>
  </w:style>
  <w:style w:type="paragraph" w:styleId="33">
    <w:name w:val="Body Text Indent 3"/>
    <w:basedOn w:val="a1"/>
    <w:link w:val="34"/>
    <w:qFormat/>
    <w:pPr>
      <w:spacing w:line="400" w:lineRule="atLeast"/>
      <w:ind w:firstLine="600"/>
    </w:pPr>
    <w:rPr>
      <w:rFonts w:ascii="宋体"/>
      <w:kern w:val="0"/>
      <w:sz w:val="28"/>
      <w:szCs w:val="20"/>
    </w:rPr>
  </w:style>
  <w:style w:type="paragraph" w:styleId="TOC2">
    <w:name w:val="toc 2"/>
    <w:basedOn w:val="a1"/>
    <w:next w:val="a1"/>
    <w:uiPriority w:val="39"/>
    <w:qFormat/>
    <w:pPr>
      <w:spacing w:before="240"/>
      <w:jc w:val="left"/>
    </w:pPr>
    <w:rPr>
      <w:rFonts w:ascii="Calibri" w:hAnsi="Calibri"/>
      <w:b/>
      <w:bCs/>
      <w:sz w:val="20"/>
      <w:szCs w:val="20"/>
    </w:rPr>
  </w:style>
  <w:style w:type="paragraph" w:styleId="TOC9">
    <w:name w:val="toc 9"/>
    <w:basedOn w:val="a1"/>
    <w:next w:val="a1"/>
    <w:uiPriority w:val="39"/>
    <w:qFormat/>
    <w:pPr>
      <w:ind w:left="1470"/>
      <w:jc w:val="left"/>
    </w:pPr>
    <w:rPr>
      <w:rFonts w:ascii="Calibri" w:hAnsi="Calibri"/>
      <w:sz w:val="20"/>
      <w:szCs w:val="20"/>
    </w:rPr>
  </w:style>
  <w:style w:type="paragraph" w:styleId="25">
    <w:name w:val="Body Text 2"/>
    <w:basedOn w:val="a1"/>
    <w:link w:val="26"/>
    <w:qFormat/>
    <w:rPr>
      <w:kern w:val="0"/>
      <w:sz w:val="28"/>
      <w:szCs w:val="20"/>
    </w:rPr>
  </w:style>
  <w:style w:type="paragraph" w:styleId="HTML">
    <w:name w:val="HTML Preformatted"/>
    <w:basedOn w:val="a1"/>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kern w:val="0"/>
      <w:sz w:val="20"/>
      <w:szCs w:val="20"/>
    </w:rPr>
  </w:style>
  <w:style w:type="paragraph" w:styleId="aff6">
    <w:name w:val="Normal (Web)"/>
    <w:basedOn w:val="a1"/>
    <w:qFormat/>
    <w:pPr>
      <w:widowControl/>
      <w:spacing w:before="100" w:beforeAutospacing="1" w:after="100" w:afterAutospacing="1"/>
      <w:jc w:val="left"/>
    </w:pPr>
    <w:rPr>
      <w:rFonts w:ascii="Arial Unicode MS" w:eastAsia="Arial Unicode MS" w:hAnsi="Arial Unicode MS" w:cs="Arial Unicode MS" w:hint="eastAsia"/>
      <w:color w:val="000000"/>
      <w:kern w:val="0"/>
      <w:sz w:val="24"/>
    </w:rPr>
  </w:style>
  <w:style w:type="paragraph" w:styleId="11">
    <w:name w:val="index 1"/>
    <w:basedOn w:val="a1"/>
    <w:next w:val="a1"/>
    <w:qFormat/>
    <w:pPr>
      <w:spacing w:line="360" w:lineRule="auto"/>
      <w:ind w:firstLineChars="200" w:firstLine="422"/>
      <w:outlineLvl w:val="0"/>
    </w:pPr>
    <w:rPr>
      <w:rFonts w:ascii="宋体" w:hAnsi="宋体"/>
      <w:b/>
      <w:bCs/>
      <w:color w:val="000000"/>
      <w:kern w:val="0"/>
    </w:rPr>
  </w:style>
  <w:style w:type="paragraph" w:styleId="aff7">
    <w:name w:val="Title"/>
    <w:basedOn w:val="a1"/>
    <w:link w:val="aff8"/>
    <w:qFormat/>
    <w:pPr>
      <w:spacing w:before="240" w:after="60" w:line="360" w:lineRule="auto"/>
      <w:ind w:firstLine="425"/>
      <w:jc w:val="center"/>
      <w:outlineLvl w:val="0"/>
    </w:pPr>
    <w:rPr>
      <w:rFonts w:ascii="Arial" w:hAnsi="Arial"/>
      <w:b/>
      <w:kern w:val="0"/>
      <w:sz w:val="32"/>
      <w:szCs w:val="20"/>
    </w:rPr>
  </w:style>
  <w:style w:type="paragraph" w:styleId="aff9">
    <w:name w:val="annotation subject"/>
    <w:basedOn w:val="af1"/>
    <w:next w:val="af1"/>
    <w:link w:val="affa"/>
    <w:qFormat/>
    <w:rPr>
      <w:b/>
      <w:bCs/>
      <w:szCs w:val="24"/>
    </w:rPr>
  </w:style>
  <w:style w:type="paragraph" w:styleId="affb">
    <w:name w:val="Body Text First Indent"/>
    <w:basedOn w:val="a9"/>
    <w:link w:val="affc"/>
    <w:qFormat/>
    <w:pPr>
      <w:spacing w:after="120" w:line="240" w:lineRule="auto"/>
      <w:ind w:firstLineChars="100" w:firstLine="420"/>
    </w:pPr>
  </w:style>
  <w:style w:type="table" w:styleId="affd">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Strong"/>
    <w:uiPriority w:val="22"/>
    <w:qFormat/>
    <w:rPr>
      <w:b/>
      <w:bCs/>
    </w:rPr>
  </w:style>
  <w:style w:type="character" w:styleId="afff">
    <w:name w:val="page number"/>
    <w:basedOn w:val="a2"/>
    <w:qFormat/>
  </w:style>
  <w:style w:type="character" w:styleId="afff0">
    <w:name w:val="FollowedHyperlink"/>
    <w:qFormat/>
    <w:rPr>
      <w:color w:val="800080"/>
      <w:u w:val="single"/>
    </w:rPr>
  </w:style>
  <w:style w:type="character" w:styleId="afff1">
    <w:name w:val="Emphasis"/>
    <w:qFormat/>
    <w:rPr>
      <w:i/>
      <w:iCs/>
    </w:rPr>
  </w:style>
  <w:style w:type="character" w:styleId="HTML1">
    <w:name w:val="HTML Typewriter"/>
    <w:qFormat/>
    <w:rPr>
      <w:rFonts w:ascii="Arial Unicode MS" w:eastAsia="Arial Unicode MS" w:hAnsi="Arial Unicode MS" w:cs="Arial Unicode MS"/>
      <w:sz w:val="20"/>
      <w:szCs w:val="20"/>
    </w:rPr>
  </w:style>
  <w:style w:type="character" w:styleId="afff2">
    <w:name w:val="Hyperlink"/>
    <w:uiPriority w:val="99"/>
    <w:qFormat/>
    <w:rPr>
      <w:color w:val="0000FF"/>
      <w:u w:val="single"/>
    </w:rPr>
  </w:style>
  <w:style w:type="character" w:styleId="afff3">
    <w:name w:val="annotation reference"/>
    <w:qFormat/>
    <w:rPr>
      <w:sz w:val="21"/>
      <w:szCs w:val="21"/>
    </w:rPr>
  </w:style>
  <w:style w:type="character" w:styleId="afff4">
    <w:name w:val="footnote reference"/>
    <w:qFormat/>
    <w:rPr>
      <w:vertAlign w:val="superscript"/>
    </w:rPr>
  </w:style>
  <w:style w:type="paragraph" w:customStyle="1" w:styleId="AONormal6L">
    <w:name w:val="AONormal6L"/>
    <w:basedOn w:val="AONormal8L"/>
    <w:qFormat/>
    <w:pPr>
      <w:spacing w:line="160" w:lineRule="atLeast"/>
    </w:pPr>
    <w:rPr>
      <w:sz w:val="12"/>
    </w:rPr>
  </w:style>
  <w:style w:type="paragraph" w:customStyle="1" w:styleId="AONormal8L">
    <w:name w:val="AONormal8L"/>
    <w:basedOn w:val="AONormal"/>
    <w:qFormat/>
    <w:pPr>
      <w:spacing w:line="220" w:lineRule="atLeast"/>
    </w:pPr>
    <w:rPr>
      <w:rFonts w:ascii="Arial" w:hAnsi="Arial"/>
      <w:sz w:val="16"/>
    </w:rPr>
  </w:style>
  <w:style w:type="paragraph" w:customStyle="1" w:styleId="AOTitle">
    <w:name w:val="AOTitle"/>
    <w:basedOn w:val="AOHeadings"/>
    <w:next w:val="AODocTxt"/>
    <w:qFormat/>
    <w:pPr>
      <w:jc w:val="center"/>
    </w:pPr>
    <w:rPr>
      <w:b/>
      <w:caps/>
    </w:rPr>
  </w:style>
  <w:style w:type="paragraph" w:customStyle="1" w:styleId="AOHeadings">
    <w:name w:val="AOHeadings"/>
    <w:basedOn w:val="AOBodyTxt"/>
    <w:next w:val="AODocTxt"/>
    <w:qFormat/>
  </w:style>
  <w:style w:type="paragraph" w:customStyle="1" w:styleId="AOBodyTxt">
    <w:name w:val="AOBodyTxt"/>
    <w:basedOn w:val="AONormal"/>
    <w:next w:val="AODocTxt"/>
    <w:qFormat/>
    <w:pPr>
      <w:spacing w:before="240"/>
    </w:pPr>
  </w:style>
  <w:style w:type="paragraph" w:customStyle="1" w:styleId="AODocTxt">
    <w:name w:val="AODocTxt"/>
    <w:basedOn w:val="AOBodyTxt"/>
    <w:qFormat/>
    <w:pPr>
      <w:numPr>
        <w:numId w:val="4"/>
      </w:numPr>
    </w:pPr>
  </w:style>
  <w:style w:type="paragraph" w:customStyle="1" w:styleId="12">
    <w:name w:val="列出段落1"/>
    <w:basedOn w:val="a1"/>
    <w:uiPriority w:val="34"/>
    <w:qFormat/>
    <w:pPr>
      <w:ind w:firstLineChars="200" w:firstLine="420"/>
    </w:pPr>
  </w:style>
  <w:style w:type="paragraph" w:customStyle="1" w:styleId="AONormal6C">
    <w:name w:val="AONormal6C"/>
    <w:basedOn w:val="AONormal6L"/>
    <w:qFormat/>
    <w:pPr>
      <w:jc w:val="center"/>
    </w:pPr>
  </w:style>
  <w:style w:type="paragraph" w:customStyle="1" w:styleId="AODocTxtL7">
    <w:name w:val="AODocTxtL7"/>
    <w:basedOn w:val="AODocTxt"/>
    <w:qFormat/>
    <w:pPr>
      <w:numPr>
        <w:ilvl w:val="7"/>
      </w:numPr>
      <w:tabs>
        <w:tab w:val="left" w:pos="5760"/>
      </w:tabs>
      <w:ind w:left="5760" w:hanging="360"/>
    </w:pPr>
  </w:style>
  <w:style w:type="paragraph" w:customStyle="1" w:styleId="AOHeading1">
    <w:name w:val="AOHeading1"/>
    <w:basedOn w:val="AOHeadings"/>
    <w:next w:val="AODocTxt"/>
    <w:qFormat/>
    <w:pPr>
      <w:keepNext/>
      <w:outlineLvl w:val="0"/>
    </w:pPr>
    <w:rPr>
      <w:b/>
      <w:caps/>
      <w:kern w:val="28"/>
    </w:rPr>
  </w:style>
  <w:style w:type="paragraph" w:customStyle="1" w:styleId="CharCharCharChar3">
    <w:name w:val="Char Char Char Char3"/>
    <w:basedOn w:val="a1"/>
    <w:qFormat/>
    <w:pPr>
      <w:tabs>
        <w:tab w:val="left" w:pos="360"/>
      </w:tabs>
    </w:pPr>
    <w:rPr>
      <w:szCs w:val="20"/>
    </w:rPr>
  </w:style>
  <w:style w:type="paragraph" w:customStyle="1" w:styleId="AOBPTxtC">
    <w:name w:val="AOBPTxtC"/>
    <w:basedOn w:val="AOBPTxtL"/>
    <w:qFormat/>
    <w:pPr>
      <w:jc w:val="center"/>
    </w:pPr>
  </w:style>
  <w:style w:type="paragraph" w:customStyle="1" w:styleId="AOBPTxtL">
    <w:name w:val="AOBPTxtL"/>
    <w:basedOn w:val="AOFPBP"/>
    <w:qFormat/>
  </w:style>
  <w:style w:type="paragraph" w:customStyle="1" w:styleId="AOFPBP">
    <w:name w:val="AOFPBP"/>
    <w:basedOn w:val="AONormal"/>
    <w:next w:val="AOFPTxt"/>
    <w:qFormat/>
  </w:style>
  <w:style w:type="paragraph" w:customStyle="1" w:styleId="AOFPTxt">
    <w:name w:val="AOFPTxt"/>
    <w:basedOn w:val="AOFPBP"/>
    <w:qFormat/>
    <w:rPr>
      <w:b/>
    </w:rPr>
  </w:style>
  <w:style w:type="paragraph" w:customStyle="1" w:styleId="AOGenNum2">
    <w:name w:val="AOGenNum2"/>
    <w:basedOn w:val="AOBodyTxt"/>
    <w:next w:val="AOGenNum2Para"/>
    <w:qFormat/>
    <w:pPr>
      <w:keepNext/>
      <w:numPr>
        <w:numId w:val="5"/>
      </w:numPr>
    </w:pPr>
    <w:rPr>
      <w:b/>
    </w:rPr>
  </w:style>
  <w:style w:type="paragraph" w:customStyle="1" w:styleId="AOGenNum2Para">
    <w:name w:val="AOGenNum2Para"/>
    <w:basedOn w:val="AOGenNum2"/>
    <w:next w:val="AOGenNum2List"/>
    <w:qFormat/>
    <w:pPr>
      <w:numPr>
        <w:ilvl w:val="1"/>
      </w:numPr>
      <w:tabs>
        <w:tab w:val="clear" w:pos="720"/>
        <w:tab w:val="left" w:pos="1588"/>
      </w:tabs>
      <w:ind w:left="1588" w:hanging="737"/>
    </w:pPr>
    <w:rPr>
      <w:b w:val="0"/>
    </w:rPr>
  </w:style>
  <w:style w:type="paragraph" w:customStyle="1" w:styleId="AOGenNum2List">
    <w:name w:val="AOGenNum2List"/>
    <w:basedOn w:val="AOGenNum2"/>
    <w:qFormat/>
    <w:pPr>
      <w:numPr>
        <w:ilvl w:val="2"/>
      </w:numPr>
      <w:tabs>
        <w:tab w:val="clear" w:pos="720"/>
        <w:tab w:val="left" w:pos="1021"/>
      </w:tabs>
      <w:ind w:left="1021" w:hanging="601"/>
    </w:pPr>
    <w:rPr>
      <w:b w:val="0"/>
    </w:rPr>
  </w:style>
  <w:style w:type="paragraph" w:customStyle="1" w:styleId="AOFPTitle">
    <w:name w:val="AOFPTitle"/>
    <w:basedOn w:val="AOFPTxt"/>
    <w:qFormat/>
    <w:rPr>
      <w:caps/>
      <w:sz w:val="32"/>
    </w:rPr>
  </w:style>
  <w:style w:type="paragraph" w:customStyle="1" w:styleId="AOSchTitle">
    <w:name w:val="AOSchTitle"/>
    <w:basedOn w:val="AOAttachments"/>
    <w:next w:val="AODocTxt"/>
    <w:qFormat/>
    <w:pPr>
      <w:outlineLvl w:val="1"/>
    </w:pPr>
    <w:rPr>
      <w:b/>
    </w:rPr>
  </w:style>
  <w:style w:type="paragraph" w:customStyle="1" w:styleId="AOAttachments">
    <w:name w:val="AOAttachments"/>
    <w:basedOn w:val="AOBodyTxt"/>
    <w:next w:val="AODocTxt"/>
    <w:qFormat/>
    <w:pPr>
      <w:jc w:val="center"/>
    </w:pPr>
    <w:rPr>
      <w:caps/>
    </w:rPr>
  </w:style>
  <w:style w:type="paragraph" w:customStyle="1" w:styleId="CharChar11">
    <w:name w:val="Char Char11"/>
    <w:basedOn w:val="a1"/>
    <w:qFormat/>
    <w:rPr>
      <w:szCs w:val="20"/>
    </w:rPr>
  </w:style>
  <w:style w:type="paragraph" w:customStyle="1" w:styleId="AOAppPartTitle">
    <w:name w:val="AOAppPartTitle"/>
    <w:basedOn w:val="AOAppTitle"/>
    <w:next w:val="AODocTxt"/>
    <w:qFormat/>
  </w:style>
  <w:style w:type="paragraph" w:customStyle="1" w:styleId="AOAppTitle">
    <w:name w:val="AOAppTitle"/>
    <w:basedOn w:val="AOAttachments"/>
    <w:next w:val="AODocTxt"/>
    <w:qFormat/>
    <w:pPr>
      <w:outlineLvl w:val="1"/>
    </w:pPr>
    <w:rPr>
      <w:b/>
    </w:rPr>
  </w:style>
  <w:style w:type="paragraph" w:customStyle="1" w:styleId="AONormal6R">
    <w:name w:val="AONormal6R"/>
    <w:basedOn w:val="AONormal6L"/>
    <w:qFormat/>
    <w:pPr>
      <w:jc w:val="right"/>
    </w:pPr>
  </w:style>
  <w:style w:type="paragraph" w:customStyle="1" w:styleId="AOA">
    <w:name w:val="AO(A)"/>
    <w:basedOn w:val="AOBodyTxt"/>
    <w:next w:val="AODocTxt"/>
    <w:qFormat/>
    <w:pPr>
      <w:numPr>
        <w:numId w:val="6"/>
      </w:numPr>
    </w:pPr>
  </w:style>
  <w:style w:type="paragraph" w:customStyle="1" w:styleId="Char3">
    <w:name w:val="Char3"/>
    <w:basedOn w:val="a1"/>
    <w:qFormat/>
    <w:rPr>
      <w:szCs w:val="20"/>
    </w:rPr>
  </w:style>
  <w:style w:type="paragraph" w:customStyle="1" w:styleId="AOTOCs">
    <w:name w:val="AOTOCs"/>
    <w:basedOn w:val="AONormal"/>
    <w:next w:val="TOC1"/>
    <w:qFormat/>
    <w:pPr>
      <w:jc w:val="both"/>
    </w:pPr>
  </w:style>
  <w:style w:type="paragraph" w:customStyle="1" w:styleId="Char6">
    <w:name w:val="Char6"/>
    <w:basedOn w:val="a1"/>
    <w:qFormat/>
    <w:rPr>
      <w:szCs w:val="20"/>
    </w:rPr>
  </w:style>
  <w:style w:type="paragraph" w:customStyle="1" w:styleId="msonormal1">
    <w:name w:val="msonormal1"/>
    <w:qFormat/>
    <w:pPr>
      <w:widowControl w:val="0"/>
      <w:jc w:val="both"/>
    </w:pPr>
    <w:rPr>
      <w:kern w:val="2"/>
      <w:sz w:val="21"/>
    </w:rPr>
  </w:style>
  <w:style w:type="paragraph" w:customStyle="1" w:styleId="AOHead2">
    <w:name w:val="AOHead2"/>
    <w:basedOn w:val="AOHeadings"/>
    <w:next w:val="AODocTxtL1"/>
    <w:qFormat/>
    <w:pPr>
      <w:keepNext/>
      <w:numPr>
        <w:ilvl w:val="1"/>
        <w:numId w:val="7"/>
      </w:numPr>
      <w:outlineLvl w:val="1"/>
    </w:pPr>
    <w:rPr>
      <w:b/>
    </w:rPr>
  </w:style>
  <w:style w:type="paragraph" w:customStyle="1" w:styleId="AODocTxtL1">
    <w:name w:val="AODocTxtL1"/>
    <w:basedOn w:val="AODocTxt"/>
    <w:qFormat/>
    <w:pPr>
      <w:numPr>
        <w:ilvl w:val="1"/>
      </w:numPr>
      <w:tabs>
        <w:tab w:val="left" w:pos="780"/>
      </w:tabs>
      <w:ind w:left="0" w:firstLine="420"/>
    </w:pPr>
  </w:style>
  <w:style w:type="paragraph" w:customStyle="1" w:styleId="Char4">
    <w:name w:val="Char4"/>
    <w:basedOn w:val="a1"/>
    <w:qFormat/>
    <w:rPr>
      <w:szCs w:val="20"/>
    </w:rPr>
  </w:style>
  <w:style w:type="paragraph" w:customStyle="1" w:styleId="CharCharChar3">
    <w:name w:val="Char Char Char3"/>
    <w:basedOn w:val="a1"/>
    <w:qFormat/>
    <w:rPr>
      <w:szCs w:val="20"/>
    </w:rPr>
  </w:style>
  <w:style w:type="paragraph" w:customStyle="1" w:styleId="AOAltHead4">
    <w:name w:val="AOAltHead4"/>
    <w:basedOn w:val="AOHead4"/>
    <w:next w:val="AODocTxtL2"/>
    <w:qFormat/>
    <w:pPr>
      <w:ind w:left="1440"/>
    </w:pPr>
  </w:style>
  <w:style w:type="paragraph" w:customStyle="1" w:styleId="AOHead4">
    <w:name w:val="AOHead4"/>
    <w:basedOn w:val="AOHeadings"/>
    <w:next w:val="AODocTxtL3"/>
    <w:qFormat/>
    <w:pPr>
      <w:tabs>
        <w:tab w:val="left" w:pos="720"/>
      </w:tabs>
      <w:ind w:left="2160" w:hanging="720"/>
      <w:outlineLvl w:val="3"/>
    </w:pPr>
  </w:style>
  <w:style w:type="paragraph" w:customStyle="1" w:styleId="AODocTxtL3">
    <w:name w:val="AODocTxtL3"/>
    <w:basedOn w:val="AODocTxt"/>
    <w:qFormat/>
    <w:pPr>
      <w:numPr>
        <w:ilvl w:val="3"/>
      </w:numPr>
      <w:tabs>
        <w:tab w:val="left" w:pos="2880"/>
      </w:tabs>
      <w:ind w:left="2880" w:hanging="360"/>
    </w:pPr>
  </w:style>
  <w:style w:type="paragraph" w:customStyle="1" w:styleId="AODocTxtL2">
    <w:name w:val="AODocTxtL2"/>
    <w:basedOn w:val="AODocTxt"/>
    <w:qFormat/>
    <w:pPr>
      <w:numPr>
        <w:ilvl w:val="2"/>
      </w:numPr>
      <w:tabs>
        <w:tab w:val="left" w:pos="2160"/>
      </w:tabs>
      <w:ind w:left="2160" w:hanging="360"/>
    </w:pPr>
  </w:style>
  <w:style w:type="paragraph" w:customStyle="1" w:styleId="110">
    <w:name w:val="列出段落11"/>
    <w:basedOn w:val="a1"/>
    <w:uiPriority w:val="34"/>
    <w:qFormat/>
    <w:pPr>
      <w:ind w:firstLineChars="200" w:firstLine="420"/>
    </w:pPr>
  </w:style>
  <w:style w:type="paragraph" w:customStyle="1" w:styleId="CharChar">
    <w:name w:val="Char Char"/>
    <w:basedOn w:val="a1"/>
    <w:qFormat/>
    <w:rPr>
      <w:szCs w:val="20"/>
    </w:rPr>
  </w:style>
  <w:style w:type="paragraph" w:customStyle="1" w:styleId="2">
    <w:name w:val="编号正文2"/>
    <w:basedOn w:val="a1"/>
    <w:qFormat/>
    <w:pPr>
      <w:numPr>
        <w:numId w:val="8"/>
      </w:numPr>
      <w:autoSpaceDE w:val="0"/>
      <w:autoSpaceDN w:val="0"/>
      <w:adjustRightInd w:val="0"/>
      <w:spacing w:after="120" w:line="300" w:lineRule="auto"/>
    </w:pPr>
    <w:rPr>
      <w:rFonts w:ascii="宋体"/>
      <w:kern w:val="0"/>
      <w:szCs w:val="20"/>
    </w:rPr>
  </w:style>
  <w:style w:type="paragraph" w:customStyle="1" w:styleId="AOBPTitle">
    <w:name w:val="AOBPTitle"/>
    <w:basedOn w:val="AOBPTxtL"/>
    <w:qFormat/>
    <w:rPr>
      <w:b/>
      <w:caps/>
    </w:rPr>
  </w:style>
  <w:style w:type="paragraph" w:customStyle="1" w:styleId="AONormal8C">
    <w:name w:val="AONormal8C"/>
    <w:basedOn w:val="AONormal8L"/>
    <w:qFormat/>
    <w:pPr>
      <w:jc w:val="center"/>
    </w:pPr>
  </w:style>
  <w:style w:type="paragraph" w:customStyle="1" w:styleId="CharChar2">
    <w:name w:val="Char Char2"/>
    <w:basedOn w:val="a1"/>
    <w:qFormat/>
    <w:rPr>
      <w:szCs w:val="20"/>
    </w:rPr>
  </w:style>
  <w:style w:type="paragraph" w:customStyle="1" w:styleId="AOAltHead1">
    <w:name w:val="AOAltHead1"/>
    <w:basedOn w:val="AOHead1"/>
    <w:next w:val="AODocTxtL1"/>
    <w:qFormat/>
    <w:rPr>
      <w:b w:val="0"/>
      <w:caps w:val="0"/>
    </w:rPr>
  </w:style>
  <w:style w:type="paragraph" w:customStyle="1" w:styleId="AOHead1">
    <w:name w:val="AOHead1"/>
    <w:basedOn w:val="AOHeadings"/>
    <w:next w:val="AODocTxtL1"/>
    <w:qFormat/>
    <w:pPr>
      <w:keepNext/>
      <w:tabs>
        <w:tab w:val="left" w:pos="720"/>
      </w:tabs>
      <w:ind w:left="720" w:hanging="720"/>
      <w:outlineLvl w:val="0"/>
    </w:pPr>
    <w:rPr>
      <w:b/>
      <w:caps/>
      <w:kern w:val="28"/>
    </w:rPr>
  </w:style>
  <w:style w:type="paragraph" w:customStyle="1" w:styleId="CharChar4">
    <w:name w:val="Char Char4"/>
    <w:basedOn w:val="a1"/>
    <w:qFormat/>
    <w:rPr>
      <w:szCs w:val="20"/>
    </w:rPr>
  </w:style>
  <w:style w:type="paragraph" w:customStyle="1" w:styleId="CharChar15">
    <w:name w:val="Char Char15"/>
    <w:basedOn w:val="a1"/>
    <w:qFormat/>
  </w:style>
  <w:style w:type="paragraph" w:customStyle="1" w:styleId="CharCharCharChar">
    <w:name w:val="Char Char Char Char"/>
    <w:basedOn w:val="a1"/>
    <w:qFormat/>
    <w:pPr>
      <w:tabs>
        <w:tab w:val="left" w:pos="360"/>
      </w:tabs>
    </w:pPr>
    <w:rPr>
      <w:sz w:val="24"/>
    </w:rPr>
  </w:style>
  <w:style w:type="paragraph" w:customStyle="1" w:styleId="AOAltHead6">
    <w:name w:val="AOAltHead6"/>
    <w:basedOn w:val="AOHead6"/>
    <w:next w:val="AODocTxtL4"/>
    <w:qFormat/>
    <w:pPr>
      <w:ind w:left="2880"/>
    </w:pPr>
  </w:style>
  <w:style w:type="paragraph" w:customStyle="1" w:styleId="AOHead6">
    <w:name w:val="AOHead6"/>
    <w:basedOn w:val="AOHeadings"/>
    <w:next w:val="AODocTxtL5"/>
    <w:qFormat/>
    <w:pPr>
      <w:tabs>
        <w:tab w:val="left" w:pos="720"/>
      </w:tabs>
      <w:ind w:left="3600" w:hanging="720"/>
      <w:outlineLvl w:val="5"/>
    </w:pPr>
  </w:style>
  <w:style w:type="paragraph" w:customStyle="1" w:styleId="AODocTxtL5">
    <w:name w:val="AODocTxtL5"/>
    <w:basedOn w:val="AODocTxt"/>
    <w:qFormat/>
    <w:pPr>
      <w:numPr>
        <w:ilvl w:val="5"/>
      </w:numPr>
      <w:tabs>
        <w:tab w:val="left" w:pos="4320"/>
      </w:tabs>
      <w:ind w:left="4320" w:hanging="360"/>
    </w:pPr>
  </w:style>
  <w:style w:type="paragraph" w:customStyle="1" w:styleId="AODocTxtL4">
    <w:name w:val="AODocTxtL4"/>
    <w:basedOn w:val="AODocTxt"/>
    <w:qFormat/>
    <w:pPr>
      <w:numPr>
        <w:ilvl w:val="4"/>
      </w:numPr>
      <w:tabs>
        <w:tab w:val="left" w:pos="3600"/>
      </w:tabs>
      <w:ind w:left="3600" w:hanging="360"/>
    </w:pPr>
  </w:style>
  <w:style w:type="paragraph" w:customStyle="1" w:styleId="1Char">
    <w:name w:val="1 Char"/>
    <w:basedOn w:val="a1"/>
    <w:semiHidden/>
    <w:qFormat/>
    <w:pPr>
      <w:tabs>
        <w:tab w:val="left" w:pos="360"/>
      </w:tabs>
    </w:pPr>
    <w:rPr>
      <w:sz w:val="24"/>
    </w:rPr>
  </w:style>
  <w:style w:type="paragraph" w:customStyle="1" w:styleId="afff5">
    <w:name w:val="第三级标题"/>
    <w:basedOn w:val="afff6"/>
    <w:next w:val="afff6"/>
    <w:qFormat/>
    <w:pPr>
      <w:keepNext/>
      <w:outlineLvl w:val="2"/>
    </w:pPr>
    <w:rPr>
      <w:b/>
    </w:rPr>
  </w:style>
  <w:style w:type="paragraph" w:customStyle="1" w:styleId="afff6">
    <w:name w:val="正文正文"/>
    <w:basedOn w:val="a1"/>
    <w:qFormat/>
    <w:pPr>
      <w:spacing w:afterLines="25" w:line="360" w:lineRule="auto"/>
      <w:ind w:firstLineChars="200" w:firstLine="200"/>
    </w:pPr>
    <w:rPr>
      <w:sz w:val="24"/>
    </w:rPr>
  </w:style>
  <w:style w:type="paragraph" w:customStyle="1" w:styleId="AONormal8R">
    <w:name w:val="AONormal8R"/>
    <w:basedOn w:val="AONormal8L"/>
    <w:qFormat/>
    <w:pPr>
      <w:jc w:val="right"/>
    </w:pPr>
  </w:style>
  <w:style w:type="paragraph" w:customStyle="1" w:styleId="AOHeading4">
    <w:name w:val="AOHeading4"/>
    <w:basedOn w:val="AOHeadings"/>
    <w:next w:val="AODocTxt"/>
    <w:qFormat/>
    <w:pPr>
      <w:keepNext/>
      <w:outlineLvl w:val="3"/>
    </w:pPr>
    <w:rPr>
      <w:i/>
    </w:rPr>
  </w:style>
  <w:style w:type="paragraph" w:customStyle="1" w:styleId="AOTOC1">
    <w:name w:val="AOTOC1"/>
    <w:basedOn w:val="AOTOCs"/>
    <w:qFormat/>
    <w:pPr>
      <w:tabs>
        <w:tab w:val="left" w:pos="720"/>
        <w:tab w:val="right" w:leader="dot" w:pos="9027"/>
      </w:tabs>
    </w:pPr>
    <w:rPr>
      <w:b/>
      <w:caps/>
    </w:rPr>
  </w:style>
  <w:style w:type="paragraph" w:customStyle="1" w:styleId="AOAltHead3">
    <w:name w:val="AOAltHead3"/>
    <w:basedOn w:val="AOHead3"/>
    <w:next w:val="AODocTxtL1"/>
    <w:qFormat/>
    <w:pPr>
      <w:ind w:left="720"/>
    </w:pPr>
  </w:style>
  <w:style w:type="paragraph" w:customStyle="1" w:styleId="AOHead3">
    <w:name w:val="AOHead3"/>
    <w:basedOn w:val="AOHeadings"/>
    <w:next w:val="AODocTxtL2"/>
    <w:qFormat/>
    <w:pPr>
      <w:tabs>
        <w:tab w:val="left" w:pos="720"/>
      </w:tabs>
      <w:ind w:left="1440" w:hanging="720"/>
      <w:outlineLvl w:val="2"/>
    </w:pPr>
  </w:style>
  <w:style w:type="paragraph" w:customStyle="1" w:styleId="AOTOCHeading">
    <w:name w:val="AOTOCHeading"/>
    <w:basedOn w:val="AOHeadings"/>
    <w:next w:val="AODocTxt"/>
    <w:qFormat/>
    <w:pPr>
      <w:tabs>
        <w:tab w:val="right" w:pos="9000"/>
      </w:tabs>
      <w:spacing w:after="240"/>
    </w:pPr>
    <w:rPr>
      <w:b/>
    </w:rPr>
  </w:style>
  <w:style w:type="paragraph" w:customStyle="1" w:styleId="afff7">
    <w:name w:val="中文文本"/>
    <w:basedOn w:val="a1"/>
    <w:qFormat/>
    <w:pPr>
      <w:adjustRightInd w:val="0"/>
      <w:spacing w:before="120" w:after="120" w:line="312" w:lineRule="atLeast"/>
      <w:textAlignment w:val="baseline"/>
    </w:pPr>
    <w:rPr>
      <w:kern w:val="0"/>
      <w:sz w:val="24"/>
      <w:szCs w:val="20"/>
    </w:rPr>
  </w:style>
  <w:style w:type="paragraph" w:customStyle="1" w:styleId="AOAnxPartHead">
    <w:name w:val="AOAnxPartHead"/>
    <w:basedOn w:val="AOAnxHead"/>
    <w:next w:val="AOAnxPartTitle"/>
    <w:qFormat/>
    <w:pPr>
      <w:numPr>
        <w:ilvl w:val="1"/>
      </w:numPr>
      <w:tabs>
        <w:tab w:val="left" w:pos="1440"/>
      </w:tabs>
      <w:ind w:left="1440" w:hanging="360"/>
    </w:pPr>
  </w:style>
  <w:style w:type="paragraph" w:customStyle="1" w:styleId="AOAnxHead">
    <w:name w:val="AOAnxHead"/>
    <w:basedOn w:val="AOAttachments"/>
    <w:next w:val="AOAnxTitle"/>
    <w:qFormat/>
    <w:pPr>
      <w:pageBreakBefore/>
      <w:numPr>
        <w:numId w:val="9"/>
      </w:numPr>
      <w:outlineLvl w:val="0"/>
    </w:pPr>
  </w:style>
  <w:style w:type="paragraph" w:customStyle="1" w:styleId="AOAnxTitle">
    <w:name w:val="AOAnxTitle"/>
    <w:basedOn w:val="AOAttachments"/>
    <w:next w:val="AODocTxt"/>
    <w:qFormat/>
    <w:pPr>
      <w:outlineLvl w:val="1"/>
    </w:pPr>
    <w:rPr>
      <w:b/>
    </w:rPr>
  </w:style>
  <w:style w:type="paragraph" w:customStyle="1" w:styleId="AOAnxPartTitle">
    <w:name w:val="AOAnxPartTitle"/>
    <w:basedOn w:val="AOAnxTitle"/>
    <w:next w:val="AODocTxt"/>
    <w:qFormat/>
  </w:style>
  <w:style w:type="paragraph" w:customStyle="1" w:styleId="AOGenNum1Para">
    <w:name w:val="AOGenNum1Para"/>
    <w:basedOn w:val="AOGenNum1"/>
    <w:next w:val="AOGenNum1List"/>
    <w:qFormat/>
    <w:pPr>
      <w:numPr>
        <w:ilvl w:val="1"/>
      </w:numPr>
      <w:tabs>
        <w:tab w:val="left" w:pos="1588"/>
      </w:tabs>
      <w:ind w:left="1588" w:hanging="737"/>
    </w:pPr>
    <w:rPr>
      <w:caps w:val="0"/>
    </w:rPr>
  </w:style>
  <w:style w:type="paragraph" w:customStyle="1" w:styleId="AOGenNum1">
    <w:name w:val="AOGenNum1"/>
    <w:basedOn w:val="AOBodyTxt"/>
    <w:next w:val="AOGenNum1Para"/>
    <w:qFormat/>
    <w:pPr>
      <w:keepNext/>
      <w:numPr>
        <w:numId w:val="10"/>
      </w:numPr>
    </w:pPr>
    <w:rPr>
      <w:b/>
      <w:caps/>
    </w:rPr>
  </w:style>
  <w:style w:type="paragraph" w:customStyle="1" w:styleId="AOGenNum1List">
    <w:name w:val="AOGenNum1List"/>
    <w:basedOn w:val="AOGenNum1"/>
    <w:qFormat/>
    <w:pPr>
      <w:numPr>
        <w:ilvl w:val="2"/>
      </w:numPr>
      <w:tabs>
        <w:tab w:val="clear" w:pos="720"/>
        <w:tab w:val="left" w:pos="851"/>
      </w:tabs>
      <w:ind w:left="851" w:hanging="431"/>
    </w:pPr>
    <w:rPr>
      <w:b w:val="0"/>
      <w:caps w:val="0"/>
    </w:rPr>
  </w:style>
  <w:style w:type="paragraph" w:customStyle="1" w:styleId="CharCharChar1">
    <w:name w:val="Char Char Char1"/>
    <w:basedOn w:val="a1"/>
    <w:qFormat/>
    <w:rPr>
      <w:szCs w:val="20"/>
    </w:rPr>
  </w:style>
  <w:style w:type="paragraph" w:customStyle="1" w:styleId="CharChar5">
    <w:name w:val="Char Char5"/>
    <w:basedOn w:val="a1"/>
    <w:qFormat/>
    <w:rPr>
      <w:szCs w:val="20"/>
    </w:rPr>
  </w:style>
  <w:style w:type="paragraph" w:customStyle="1" w:styleId="CharChar14">
    <w:name w:val="Char Char14"/>
    <w:basedOn w:val="a1"/>
    <w:qFormat/>
    <w:rPr>
      <w:szCs w:val="20"/>
    </w:rPr>
  </w:style>
  <w:style w:type="paragraph" w:customStyle="1" w:styleId="AOHeading5">
    <w:name w:val="AOHeading5"/>
    <w:basedOn w:val="AOHeadings"/>
    <w:next w:val="AODocTxtL1"/>
    <w:qFormat/>
    <w:pPr>
      <w:keepNext/>
      <w:ind w:left="720"/>
      <w:outlineLvl w:val="4"/>
    </w:pPr>
    <w:rPr>
      <w:i/>
    </w:rPr>
  </w:style>
  <w:style w:type="paragraph" w:customStyle="1" w:styleId="AOTOC2">
    <w:name w:val="AOTOC2"/>
    <w:basedOn w:val="AOTOCs"/>
    <w:qFormat/>
    <w:pPr>
      <w:tabs>
        <w:tab w:val="left" w:pos="720"/>
        <w:tab w:val="right" w:leader="dot" w:pos="9027"/>
      </w:tabs>
    </w:pPr>
  </w:style>
  <w:style w:type="paragraph" w:customStyle="1" w:styleId="font523908">
    <w:name w:val="font523908"/>
    <w:basedOn w:val="a1"/>
    <w:qFormat/>
    <w:pPr>
      <w:widowControl/>
      <w:spacing w:before="100" w:after="100"/>
      <w:jc w:val="left"/>
    </w:pPr>
    <w:rPr>
      <w:rFonts w:ascii="宋体" w:hAnsi="宋体" w:hint="eastAsia"/>
      <w:kern w:val="0"/>
      <w:sz w:val="18"/>
    </w:rPr>
  </w:style>
  <w:style w:type="paragraph" w:customStyle="1" w:styleId="AODocTxtL6">
    <w:name w:val="AODocTxtL6"/>
    <w:basedOn w:val="AODocTxt"/>
    <w:qFormat/>
    <w:pPr>
      <w:numPr>
        <w:ilvl w:val="6"/>
      </w:numPr>
      <w:tabs>
        <w:tab w:val="left" w:pos="5040"/>
      </w:tabs>
      <w:ind w:left="5040" w:hanging="360"/>
    </w:pPr>
  </w:style>
  <w:style w:type="paragraph" w:customStyle="1" w:styleId="CharCharCharCharCharChar1CharCharChar2">
    <w:name w:val="Char Char Char Char Char Char1 Char Char Char2"/>
    <w:basedOn w:val="a1"/>
    <w:qFormat/>
    <w:pPr>
      <w:autoSpaceDE w:val="0"/>
      <w:autoSpaceDN w:val="0"/>
      <w:adjustRightInd w:val="0"/>
      <w:jc w:val="left"/>
      <w:textAlignment w:val="baseline"/>
    </w:pPr>
    <w:rPr>
      <w:rFonts w:ascii="宋体"/>
      <w:kern w:val="0"/>
      <w:sz w:val="34"/>
      <w:szCs w:val="20"/>
    </w:rPr>
  </w:style>
  <w:style w:type="paragraph" w:customStyle="1" w:styleId="font623908">
    <w:name w:val="font623908"/>
    <w:basedOn w:val="a1"/>
    <w:qFormat/>
    <w:pPr>
      <w:widowControl/>
      <w:spacing w:before="100" w:after="100"/>
      <w:jc w:val="left"/>
    </w:pPr>
    <w:rPr>
      <w:rFonts w:ascii="楷体_GB2312" w:eastAsia="楷体_GB2312" w:hAnsi="宋体" w:hint="eastAsia"/>
      <w:color w:val="FF0000"/>
      <w:kern w:val="0"/>
      <w:sz w:val="24"/>
    </w:rPr>
  </w:style>
  <w:style w:type="paragraph" w:customStyle="1" w:styleId="20">
    <w:name w:val="列表2"/>
    <w:basedOn w:val="a1"/>
    <w:next w:val="aff7"/>
    <w:qFormat/>
    <w:pPr>
      <w:numPr>
        <w:numId w:val="11"/>
      </w:numPr>
      <w:spacing w:line="360" w:lineRule="auto"/>
    </w:pPr>
    <w:rPr>
      <w:szCs w:val="20"/>
    </w:rPr>
  </w:style>
  <w:style w:type="paragraph" w:customStyle="1" w:styleId="TOC10">
    <w:name w:val="TOC 标题1"/>
    <w:basedOn w:val="1"/>
    <w:next w:val="a1"/>
    <w:uiPriority w:val="39"/>
    <w:qFormat/>
    <w:pPr>
      <w:widowControl/>
      <w:numPr>
        <w:numId w:val="0"/>
      </w:numPr>
      <w:spacing w:before="480" w:after="0" w:line="276" w:lineRule="auto"/>
      <w:jc w:val="left"/>
      <w:outlineLvl w:val="9"/>
    </w:pPr>
    <w:rPr>
      <w:rFonts w:ascii="Cambria" w:hAnsi="Cambria"/>
      <w:color w:val="365F91"/>
      <w:kern w:val="0"/>
      <w:sz w:val="28"/>
      <w:szCs w:val="28"/>
    </w:rPr>
  </w:style>
  <w:style w:type="paragraph" w:customStyle="1" w:styleId="AOBullet4">
    <w:name w:val="AOBullet4"/>
    <w:basedOn w:val="AOBodyTxt"/>
    <w:qFormat/>
    <w:pPr>
      <w:numPr>
        <w:numId w:val="12"/>
      </w:numPr>
      <w:spacing w:before="120"/>
    </w:pPr>
  </w:style>
  <w:style w:type="paragraph" w:customStyle="1" w:styleId="AOAltHead5">
    <w:name w:val="AOAltHead5"/>
    <w:basedOn w:val="AOHead5"/>
    <w:next w:val="AODocTxtL3"/>
    <w:qFormat/>
    <w:pPr>
      <w:ind w:left="2160"/>
    </w:pPr>
  </w:style>
  <w:style w:type="paragraph" w:customStyle="1" w:styleId="AOHead5">
    <w:name w:val="AOHead5"/>
    <w:basedOn w:val="AOHeadings"/>
    <w:next w:val="AODocTxtL4"/>
    <w:qFormat/>
    <w:pPr>
      <w:tabs>
        <w:tab w:val="left" w:pos="720"/>
      </w:tabs>
      <w:ind w:left="2880" w:hanging="720"/>
      <w:outlineLvl w:val="4"/>
    </w:pPr>
  </w:style>
  <w:style w:type="paragraph" w:customStyle="1" w:styleId="Char21">
    <w:name w:val="Char21"/>
    <w:basedOn w:val="a1"/>
    <w:qFormat/>
  </w:style>
  <w:style w:type="paragraph" w:customStyle="1" w:styleId="CharCharCharChar5">
    <w:name w:val="Char Char Char Char5"/>
    <w:basedOn w:val="a1"/>
    <w:qFormat/>
    <w:pPr>
      <w:tabs>
        <w:tab w:val="left" w:pos="360"/>
      </w:tabs>
    </w:pPr>
    <w:rPr>
      <w:szCs w:val="20"/>
    </w:rPr>
  </w:style>
  <w:style w:type="paragraph" w:customStyle="1" w:styleId="ParaCharCharCharCharCharCharCharCharCharCharCharCharCharCharCharCharCharCharCharCharCharCharCharChar">
    <w:name w:val="默认段落字体 Para Char Char Char Char Char Char Char Char Char Char Char Char Char Char Char Char Char Char Char Char Char Char Char Char"/>
    <w:basedOn w:val="a1"/>
    <w:qFormat/>
    <w:pPr>
      <w:tabs>
        <w:tab w:val="left" w:pos="840"/>
      </w:tabs>
      <w:ind w:left="840" w:hanging="360"/>
    </w:pPr>
    <w:rPr>
      <w:szCs w:val="20"/>
    </w:rPr>
  </w:style>
  <w:style w:type="paragraph" w:customStyle="1" w:styleId="CharChar12">
    <w:name w:val="Char Char12"/>
    <w:basedOn w:val="a1"/>
    <w:qFormat/>
    <w:rPr>
      <w:szCs w:val="20"/>
    </w:rPr>
  </w:style>
  <w:style w:type="paragraph" w:customStyle="1" w:styleId="AOSchPartTitle">
    <w:name w:val="AOSchPartTitle"/>
    <w:basedOn w:val="AOSchTitle"/>
    <w:next w:val="AODocTxt"/>
    <w:qFormat/>
  </w:style>
  <w:style w:type="paragraph" w:customStyle="1" w:styleId="AOTOC3">
    <w:name w:val="AOTOC3"/>
    <w:basedOn w:val="AOTOCs"/>
    <w:qFormat/>
    <w:pPr>
      <w:tabs>
        <w:tab w:val="right" w:leader="dot" w:pos="9027"/>
      </w:tabs>
      <w:ind w:left="720"/>
    </w:pPr>
    <w:rPr>
      <w:b/>
    </w:rPr>
  </w:style>
  <w:style w:type="paragraph" w:customStyle="1" w:styleId="unnamed1">
    <w:name w:val="unnamed1"/>
    <w:basedOn w:val="a1"/>
    <w:qFormat/>
    <w:pPr>
      <w:widowControl/>
      <w:spacing w:before="60" w:after="60"/>
      <w:ind w:left="15" w:right="15"/>
      <w:jc w:val="left"/>
    </w:pPr>
    <w:rPr>
      <w:rFonts w:ascii="宋体" w:hAnsi="宋体" w:hint="eastAsia"/>
      <w:color w:val="000000"/>
      <w:kern w:val="0"/>
      <w:sz w:val="18"/>
      <w:szCs w:val="18"/>
    </w:rPr>
  </w:style>
  <w:style w:type="paragraph" w:customStyle="1" w:styleId="Default">
    <w:name w:val="Default"/>
    <w:qFormat/>
    <w:pPr>
      <w:widowControl w:val="0"/>
      <w:autoSpaceDE w:val="0"/>
      <w:autoSpaceDN w:val="0"/>
      <w:adjustRightInd w:val="0"/>
    </w:pPr>
    <w:rPr>
      <w:rFonts w:ascii="宋体"/>
      <w:color w:val="000000"/>
      <w:sz w:val="24"/>
      <w:szCs w:val="24"/>
    </w:rPr>
  </w:style>
  <w:style w:type="paragraph" w:customStyle="1" w:styleId="AODefHead">
    <w:name w:val="AODefHead"/>
    <w:basedOn w:val="AOBodyTxt"/>
    <w:next w:val="AODefPara"/>
    <w:qFormat/>
    <w:pPr>
      <w:numPr>
        <w:numId w:val="13"/>
      </w:numPr>
      <w:outlineLvl w:val="5"/>
    </w:pPr>
  </w:style>
  <w:style w:type="paragraph" w:customStyle="1" w:styleId="AODefPara">
    <w:name w:val="AODefPara"/>
    <w:basedOn w:val="AODefHead"/>
    <w:qFormat/>
    <w:pPr>
      <w:numPr>
        <w:ilvl w:val="1"/>
      </w:numPr>
      <w:tabs>
        <w:tab w:val="left" w:pos="992"/>
      </w:tabs>
      <w:ind w:left="992" w:hanging="992"/>
      <w:outlineLvl w:val="6"/>
    </w:pPr>
  </w:style>
  <w:style w:type="paragraph" w:customStyle="1" w:styleId="AOTOC4">
    <w:name w:val="AOTOC4"/>
    <w:basedOn w:val="AOTOCs"/>
    <w:qFormat/>
    <w:pPr>
      <w:tabs>
        <w:tab w:val="right" w:leader="dot" w:pos="9027"/>
      </w:tabs>
      <w:ind w:left="720"/>
    </w:pPr>
  </w:style>
  <w:style w:type="paragraph" w:customStyle="1" w:styleId="13">
    <w:name w:val="字元 字元1"/>
    <w:basedOn w:val="a1"/>
    <w:qFormat/>
    <w:rPr>
      <w:rFonts w:ascii="Tahoma" w:hAnsi="Tahoma" w:cs="Tahoma"/>
      <w:sz w:val="24"/>
    </w:rPr>
  </w:style>
  <w:style w:type="paragraph" w:customStyle="1" w:styleId="AOHeading3">
    <w:name w:val="AOHeading3"/>
    <w:basedOn w:val="AOHeadings"/>
    <w:next w:val="AODocTxtL1"/>
    <w:qFormat/>
    <w:pPr>
      <w:keepNext/>
      <w:ind w:left="720"/>
      <w:outlineLvl w:val="2"/>
    </w:pPr>
    <w:rPr>
      <w:b/>
    </w:rPr>
  </w:style>
  <w:style w:type="paragraph" w:customStyle="1" w:styleId="AO1">
    <w:name w:val="AO(1)"/>
    <w:basedOn w:val="AOBodyTxt"/>
    <w:next w:val="AODocTxt"/>
    <w:qFormat/>
    <w:pPr>
      <w:numPr>
        <w:numId w:val="14"/>
      </w:numPr>
    </w:pPr>
  </w:style>
  <w:style w:type="paragraph" w:customStyle="1" w:styleId="AOFPTxtCaps">
    <w:name w:val="AOFPTxtCaps"/>
    <w:basedOn w:val="AOFPTxt"/>
    <w:qFormat/>
    <w:rPr>
      <w:caps/>
    </w:rPr>
  </w:style>
  <w:style w:type="paragraph" w:customStyle="1" w:styleId="2211">
    <w:name w:val="样式 标题 2 + 首行缩进:  2 字符 段前: 1 行 段后: 1 行"/>
    <w:basedOn w:val="21"/>
    <w:qFormat/>
    <w:pPr>
      <w:tabs>
        <w:tab w:val="clear" w:pos="1002"/>
        <w:tab w:val="clear" w:pos="3835"/>
        <w:tab w:val="left" w:pos="1276"/>
      </w:tabs>
      <w:spacing w:before="100" w:after="100" w:line="240" w:lineRule="auto"/>
      <w:ind w:left="851"/>
    </w:pPr>
    <w:rPr>
      <w:rFonts w:eastAsia="宋体"/>
      <w:bCs w:val="0"/>
      <w:sz w:val="28"/>
      <w:szCs w:val="20"/>
    </w:rPr>
  </w:style>
  <w:style w:type="paragraph" w:customStyle="1" w:styleId="p0">
    <w:name w:val="p0"/>
    <w:basedOn w:val="a1"/>
    <w:qFormat/>
    <w:pPr>
      <w:widowControl/>
      <w:spacing w:before="100" w:beforeAutospacing="1" w:after="100" w:afterAutospacing="1"/>
      <w:jc w:val="left"/>
    </w:pPr>
    <w:rPr>
      <w:rFonts w:ascii="宋体" w:hAnsi="宋体" w:cs="宋体"/>
      <w:kern w:val="0"/>
      <w:sz w:val="24"/>
    </w:rPr>
  </w:style>
  <w:style w:type="paragraph" w:customStyle="1" w:styleId="AOBPTxtR">
    <w:name w:val="AOBPTxtR"/>
    <w:basedOn w:val="AOBPTxtL"/>
    <w:qFormat/>
    <w:pPr>
      <w:jc w:val="right"/>
    </w:pPr>
  </w:style>
  <w:style w:type="paragraph" w:customStyle="1" w:styleId="AOListNumber">
    <w:name w:val="AOListNumber"/>
    <w:basedOn w:val="AOBodyTxt"/>
    <w:qFormat/>
    <w:pPr>
      <w:numPr>
        <w:numId w:val="15"/>
      </w:numPr>
    </w:pPr>
  </w:style>
  <w:style w:type="paragraph" w:customStyle="1" w:styleId="InfoBlue">
    <w:name w:val="InfoBlue"/>
    <w:basedOn w:val="a1"/>
    <w:next w:val="a9"/>
    <w:qFormat/>
    <w:pPr>
      <w:tabs>
        <w:tab w:val="left" w:pos="420"/>
      </w:tabs>
      <w:spacing w:after="120" w:line="240" w:lineRule="atLeast"/>
      <w:ind w:left="420" w:hanging="420"/>
      <w:jc w:val="left"/>
    </w:pPr>
    <w:rPr>
      <w:rFonts w:ascii="宋体" w:hAnsi="宋体"/>
      <w:szCs w:val="20"/>
    </w:rPr>
  </w:style>
  <w:style w:type="paragraph" w:customStyle="1" w:styleId="afff8">
    <w:name w:val="正文所"/>
    <w:basedOn w:val="a1"/>
    <w:qFormat/>
    <w:pPr>
      <w:spacing w:line="360" w:lineRule="auto"/>
      <w:ind w:firstLineChars="200" w:firstLine="420"/>
    </w:pPr>
  </w:style>
  <w:style w:type="paragraph" w:customStyle="1" w:styleId="14">
    <w:name w:val="批注框文本1"/>
    <w:basedOn w:val="a1"/>
    <w:semiHidden/>
    <w:qFormat/>
    <w:rPr>
      <w:rFonts w:ascii="Tahoma" w:hAnsi="Tahoma" w:cs="Tahoma"/>
      <w:sz w:val="16"/>
      <w:szCs w:val="16"/>
    </w:rPr>
  </w:style>
  <w:style w:type="paragraph" w:customStyle="1" w:styleId="xl2723908">
    <w:name w:val="xl2723908"/>
    <w:basedOn w:val="a1"/>
    <w:qFormat/>
    <w:pPr>
      <w:widowControl/>
      <w:spacing w:before="100" w:after="100"/>
      <w:jc w:val="left"/>
    </w:pPr>
    <w:rPr>
      <w:rFonts w:ascii="楷体_GB2312" w:eastAsia="楷体_GB2312" w:hAnsi="宋体" w:hint="eastAsia"/>
      <w:kern w:val="0"/>
      <w:sz w:val="24"/>
    </w:rPr>
  </w:style>
  <w:style w:type="paragraph" w:customStyle="1" w:styleId="CharCharChar2">
    <w:name w:val="Char Char Char2"/>
    <w:basedOn w:val="a1"/>
    <w:qFormat/>
    <w:rPr>
      <w:szCs w:val="20"/>
    </w:rPr>
  </w:style>
  <w:style w:type="paragraph" w:customStyle="1" w:styleId="wz1">
    <w:name w:val="wz1"/>
    <w:basedOn w:val="a1"/>
    <w:qFormat/>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szCs w:val="22"/>
    </w:rPr>
  </w:style>
  <w:style w:type="paragraph" w:customStyle="1" w:styleId="35">
    <w:name w:val="列表3"/>
    <w:basedOn w:val="a1"/>
    <w:qFormat/>
    <w:pPr>
      <w:spacing w:line="360" w:lineRule="auto"/>
    </w:pPr>
    <w:rPr>
      <w:rFonts w:ascii="宋体" w:hint="eastAsia"/>
      <w:szCs w:val="20"/>
    </w:rPr>
  </w:style>
  <w:style w:type="paragraph" w:customStyle="1" w:styleId="CharCharCharChar2">
    <w:name w:val="Char Char Char Char2"/>
    <w:basedOn w:val="a1"/>
    <w:qFormat/>
    <w:pPr>
      <w:tabs>
        <w:tab w:val="left" w:pos="360"/>
      </w:tabs>
    </w:pPr>
    <w:rPr>
      <w:szCs w:val="20"/>
    </w:rPr>
  </w:style>
  <w:style w:type="paragraph" w:customStyle="1" w:styleId="AOHeading2">
    <w:name w:val="AOHeading2"/>
    <w:basedOn w:val="AOHeadings"/>
    <w:next w:val="AODocTxt"/>
    <w:qFormat/>
    <w:pPr>
      <w:keepNext/>
      <w:outlineLvl w:val="1"/>
    </w:pPr>
    <w:rPr>
      <w:b/>
    </w:rPr>
  </w:style>
  <w:style w:type="paragraph" w:customStyle="1" w:styleId="Style31">
    <w:name w:val="_Style 31"/>
    <w:basedOn w:val="a1"/>
    <w:qFormat/>
    <w:pPr>
      <w:tabs>
        <w:tab w:val="left" w:pos="420"/>
      </w:tabs>
      <w:ind w:left="420" w:hanging="420"/>
    </w:pPr>
    <w:rPr>
      <w:szCs w:val="20"/>
    </w:rPr>
  </w:style>
  <w:style w:type="paragraph" w:customStyle="1" w:styleId="AONormal10">
    <w:name w:val="AONormal10"/>
    <w:basedOn w:val="AONormal"/>
    <w:qFormat/>
    <w:rPr>
      <w:sz w:val="20"/>
    </w:rPr>
  </w:style>
  <w:style w:type="paragraph" w:customStyle="1" w:styleId="15">
    <w:name w:val="1"/>
    <w:basedOn w:val="a1"/>
    <w:qFormat/>
    <w:pPr>
      <w:tabs>
        <w:tab w:val="left" w:pos="870"/>
      </w:tabs>
      <w:spacing w:before="100" w:beforeAutospacing="1" w:after="100" w:afterAutospacing="1" w:line="360" w:lineRule="auto"/>
      <w:ind w:leftChars="200" w:left="200"/>
    </w:pPr>
  </w:style>
  <w:style w:type="paragraph" w:customStyle="1" w:styleId="AOBullet">
    <w:name w:val="AOBullet"/>
    <w:basedOn w:val="AOBodyTxt"/>
    <w:qFormat/>
    <w:pPr>
      <w:numPr>
        <w:numId w:val="16"/>
      </w:numPr>
    </w:pPr>
  </w:style>
  <w:style w:type="paragraph" w:customStyle="1" w:styleId="Char2">
    <w:name w:val="Char2"/>
    <w:basedOn w:val="a1"/>
    <w:qFormat/>
  </w:style>
  <w:style w:type="paragraph" w:customStyle="1" w:styleId="AOBullet2">
    <w:name w:val="AOBullet2"/>
    <w:basedOn w:val="AOBullet"/>
    <w:qFormat/>
    <w:pPr>
      <w:numPr>
        <w:numId w:val="17"/>
      </w:numPr>
      <w:tabs>
        <w:tab w:val="clear" w:pos="720"/>
        <w:tab w:val="left" w:pos="1280"/>
      </w:tabs>
      <w:spacing w:before="120"/>
      <w:ind w:left="1280"/>
    </w:pPr>
  </w:style>
  <w:style w:type="paragraph" w:customStyle="1" w:styleId="CharChar3">
    <w:name w:val="Char Char3"/>
    <w:basedOn w:val="a1"/>
    <w:qFormat/>
    <w:rPr>
      <w:szCs w:val="20"/>
    </w:rPr>
  </w:style>
  <w:style w:type="paragraph" w:customStyle="1" w:styleId="AOTOCTitle">
    <w:name w:val="AOTOCTitle"/>
    <w:basedOn w:val="AOHeadings"/>
    <w:next w:val="AOTOCHeading"/>
    <w:qFormat/>
    <w:pPr>
      <w:jc w:val="center"/>
    </w:pPr>
    <w:rPr>
      <w:b/>
      <w:caps/>
    </w:rPr>
  </w:style>
  <w:style w:type="paragraph" w:customStyle="1" w:styleId="CharChar13">
    <w:name w:val="Char Char13"/>
    <w:basedOn w:val="a1"/>
    <w:qFormat/>
    <w:rPr>
      <w:szCs w:val="20"/>
    </w:rPr>
  </w:style>
  <w:style w:type="paragraph" w:customStyle="1" w:styleId="afff9">
    <w:name w:val="样式 宋体 居中"/>
    <w:basedOn w:val="a1"/>
    <w:qFormat/>
    <w:pPr>
      <w:jc w:val="center"/>
    </w:pPr>
    <w:rPr>
      <w:rFonts w:cs="宋体"/>
      <w:szCs w:val="20"/>
    </w:rPr>
  </w:style>
  <w:style w:type="paragraph" w:customStyle="1" w:styleId="AOLocation">
    <w:name w:val="AOLocation"/>
    <w:basedOn w:val="AOFPBP"/>
    <w:qFormat/>
    <w:pPr>
      <w:spacing w:before="160"/>
      <w:jc w:val="center"/>
    </w:pPr>
    <w:rPr>
      <w:b/>
      <w:caps/>
    </w:rPr>
  </w:style>
  <w:style w:type="paragraph" w:customStyle="1" w:styleId="CharChar1">
    <w:name w:val="Char Char1"/>
    <w:basedOn w:val="a1"/>
    <w:qFormat/>
    <w:rPr>
      <w:szCs w:val="20"/>
    </w:rPr>
  </w:style>
  <w:style w:type="paragraph" w:customStyle="1" w:styleId="AONormalBold">
    <w:name w:val="AONormalBold"/>
    <w:basedOn w:val="AONormal"/>
    <w:qFormat/>
    <w:rPr>
      <w:b/>
    </w:rPr>
  </w:style>
  <w:style w:type="paragraph" w:customStyle="1" w:styleId="Char5">
    <w:name w:val="Char5"/>
    <w:basedOn w:val="a1"/>
    <w:qFormat/>
  </w:style>
  <w:style w:type="paragraph" w:customStyle="1" w:styleId="Listbullet">
    <w:name w:val="List_bullet"/>
    <w:basedOn w:val="a1"/>
    <w:qFormat/>
    <w:pPr>
      <w:widowControl/>
      <w:numPr>
        <w:numId w:val="18"/>
      </w:numPr>
      <w:jc w:val="left"/>
    </w:pPr>
    <w:rPr>
      <w:kern w:val="0"/>
      <w:sz w:val="24"/>
      <w:szCs w:val="20"/>
    </w:rPr>
  </w:style>
  <w:style w:type="paragraph" w:customStyle="1" w:styleId="xl2823908">
    <w:name w:val="xl2823908"/>
    <w:basedOn w:val="a1"/>
    <w:qFormat/>
    <w:pPr>
      <w:widowControl/>
      <w:pBdr>
        <w:top w:val="single" w:sz="4" w:space="1" w:color="auto"/>
        <w:left w:val="single" w:sz="4" w:space="1" w:color="auto"/>
        <w:bottom w:val="single" w:sz="4" w:space="0" w:color="auto"/>
        <w:right w:val="single" w:sz="4" w:space="1" w:color="auto"/>
      </w:pBdr>
      <w:spacing w:before="100" w:after="100"/>
      <w:jc w:val="center"/>
    </w:pPr>
    <w:rPr>
      <w:rFonts w:ascii="楷体_GB2312" w:eastAsia="楷体_GB2312" w:hAnsi="宋体" w:hint="eastAsia"/>
      <w:kern w:val="0"/>
      <w:sz w:val="24"/>
    </w:rPr>
  </w:style>
  <w:style w:type="paragraph" w:customStyle="1" w:styleId="CharCharCharCharCharCharChar1">
    <w:name w:val="Char Char Char Char Char Char Char1"/>
    <w:basedOn w:val="a1"/>
    <w:qFormat/>
  </w:style>
  <w:style w:type="paragraph" w:customStyle="1" w:styleId="AOTOC5">
    <w:name w:val="AOTOC5"/>
    <w:basedOn w:val="AOTOCs"/>
    <w:qFormat/>
    <w:pPr>
      <w:tabs>
        <w:tab w:val="right" w:leader="dot" w:pos="9027"/>
      </w:tabs>
      <w:ind w:left="720"/>
    </w:pPr>
    <w:rPr>
      <w:i/>
    </w:rPr>
  </w:style>
  <w:style w:type="paragraph" w:customStyle="1" w:styleId="z-1">
    <w:name w:val="z-窗体顶端1"/>
    <w:basedOn w:val="a1"/>
    <w:next w:val="a1"/>
    <w:link w:val="z-Char"/>
    <w:uiPriority w:val="99"/>
    <w:qFormat/>
    <w:pPr>
      <w:widowControl/>
      <w:pBdr>
        <w:bottom w:val="single" w:sz="6" w:space="1" w:color="auto"/>
      </w:pBdr>
      <w:jc w:val="center"/>
    </w:pPr>
    <w:rPr>
      <w:rFonts w:ascii="Arial" w:hAnsi="Arial"/>
      <w:vanish/>
      <w:kern w:val="0"/>
      <w:sz w:val="16"/>
      <w:szCs w:val="16"/>
    </w:rPr>
  </w:style>
  <w:style w:type="paragraph" w:customStyle="1" w:styleId="AOFPDate">
    <w:name w:val="AOFPDate"/>
    <w:basedOn w:val="AOFPTxt"/>
    <w:qFormat/>
    <w:rPr>
      <w:caps/>
    </w:rPr>
  </w:style>
  <w:style w:type="paragraph" w:customStyle="1" w:styleId="AOFPCopyright">
    <w:name w:val="AOFPCopyright"/>
    <w:basedOn w:val="AOFPTxt"/>
    <w:qFormat/>
    <w:rPr>
      <w:caps/>
    </w:rPr>
  </w:style>
  <w:style w:type="paragraph" w:customStyle="1" w:styleId="CharCharChar">
    <w:name w:val="Char Char Char"/>
    <w:basedOn w:val="a1"/>
    <w:qFormat/>
    <w:rPr>
      <w:szCs w:val="20"/>
    </w:rPr>
  </w:style>
  <w:style w:type="paragraph" w:customStyle="1" w:styleId="afffa">
    <w:name w:val="项目标题"/>
    <w:basedOn w:val="a1"/>
    <w:qFormat/>
    <w:pPr>
      <w:autoSpaceDE w:val="0"/>
      <w:autoSpaceDN w:val="0"/>
      <w:adjustRightInd w:val="0"/>
      <w:spacing w:line="360" w:lineRule="auto"/>
      <w:textAlignment w:val="baseline"/>
    </w:pPr>
    <w:rPr>
      <w:rFonts w:ascii="黑体" w:eastAsia="黑体"/>
      <w:b/>
      <w:kern w:val="0"/>
      <w:sz w:val="24"/>
      <w:szCs w:val="20"/>
    </w:rPr>
  </w:style>
  <w:style w:type="paragraph" w:customStyle="1" w:styleId="ParaCharCharCharCharCharChar">
    <w:name w:val="默认段落字体 Para Char Char Char Char Char Char"/>
    <w:basedOn w:val="a1"/>
    <w:qFormat/>
    <w:pPr>
      <w:tabs>
        <w:tab w:val="left" w:pos="840"/>
      </w:tabs>
      <w:ind w:left="840" w:hanging="360"/>
    </w:pPr>
    <w:rPr>
      <w:sz w:val="24"/>
    </w:rPr>
  </w:style>
  <w:style w:type="paragraph" w:customStyle="1" w:styleId="AOHeading6">
    <w:name w:val="AOHeading6"/>
    <w:basedOn w:val="AOHeadings"/>
    <w:next w:val="AODocTxt"/>
    <w:qFormat/>
    <w:pPr>
      <w:keepNext/>
      <w:outlineLvl w:val="5"/>
    </w:pPr>
    <w:rPr>
      <w:b/>
      <w:i/>
    </w:rPr>
  </w:style>
  <w:style w:type="paragraph" w:customStyle="1" w:styleId="xl2423908">
    <w:name w:val="xl2423908"/>
    <w:basedOn w:val="a1"/>
    <w:qFormat/>
    <w:pPr>
      <w:widowControl/>
      <w:spacing w:before="100" w:after="100"/>
      <w:jc w:val="left"/>
    </w:pPr>
    <w:rPr>
      <w:rFonts w:ascii="宋体" w:hAnsi="宋体" w:hint="eastAsia"/>
      <w:kern w:val="0"/>
      <w:sz w:val="24"/>
    </w:rPr>
  </w:style>
  <w:style w:type="paragraph" w:customStyle="1" w:styleId="CharCharCharCharCharChar1CharCharChar">
    <w:name w:val="Char Char Char Char Char Char1 Char Char Char"/>
    <w:basedOn w:val="a1"/>
    <w:qFormat/>
    <w:pPr>
      <w:autoSpaceDE w:val="0"/>
      <w:autoSpaceDN w:val="0"/>
      <w:adjustRightInd w:val="0"/>
      <w:jc w:val="left"/>
      <w:textAlignment w:val="baseline"/>
    </w:pPr>
    <w:rPr>
      <w:rFonts w:ascii="宋体"/>
      <w:kern w:val="0"/>
      <w:sz w:val="34"/>
      <w:szCs w:val="20"/>
    </w:rPr>
  </w:style>
  <w:style w:type="paragraph" w:customStyle="1" w:styleId="AONormal8LBold">
    <w:name w:val="AONormal8LBold"/>
    <w:basedOn w:val="AONormal8L"/>
    <w:qFormat/>
    <w:rPr>
      <w:b/>
    </w:rPr>
  </w:style>
  <w:style w:type="paragraph" w:customStyle="1" w:styleId="CharCharCharCharCharCharChar">
    <w:name w:val="Char Char Char Char Char Char Char"/>
    <w:basedOn w:val="a1"/>
    <w:qFormat/>
    <w:pPr>
      <w:tabs>
        <w:tab w:val="left" w:pos="360"/>
      </w:tabs>
    </w:pPr>
    <w:rPr>
      <w:rFonts w:cs="Arial Unicode MS"/>
      <w:szCs w:val="20"/>
    </w:rPr>
  </w:style>
  <w:style w:type="paragraph" w:customStyle="1" w:styleId="CharCharCharCharCharChar1CharCharChar1">
    <w:name w:val="Char Char Char Char Char Char1 Char Char Char1"/>
    <w:basedOn w:val="a1"/>
    <w:qFormat/>
    <w:pPr>
      <w:autoSpaceDE w:val="0"/>
      <w:autoSpaceDN w:val="0"/>
      <w:adjustRightInd w:val="0"/>
      <w:jc w:val="left"/>
      <w:textAlignment w:val="baseline"/>
    </w:pPr>
    <w:rPr>
      <w:rFonts w:ascii="宋体"/>
      <w:kern w:val="0"/>
      <w:sz w:val="34"/>
      <w:szCs w:val="20"/>
    </w:rPr>
  </w:style>
  <w:style w:type="paragraph" w:customStyle="1" w:styleId="AOBodyJustified">
    <w:name w:val="AOBodyJustified"/>
    <w:basedOn w:val="AOBodyTxt"/>
    <w:qFormat/>
    <w:pPr>
      <w:jc w:val="both"/>
    </w:pPr>
  </w:style>
  <w:style w:type="paragraph" w:customStyle="1" w:styleId="AONormal8Ci">
    <w:name w:val="AONormal8Ci"/>
    <w:basedOn w:val="AONormal8C"/>
    <w:qFormat/>
    <w:pPr>
      <w:spacing w:after="120" w:line="240" w:lineRule="auto"/>
    </w:pPr>
    <w:rPr>
      <w:i/>
      <w:szCs w:val="16"/>
    </w:rPr>
  </w:style>
  <w:style w:type="paragraph" w:customStyle="1" w:styleId="c">
    <w:name w:val="c_"/>
    <w:qFormat/>
    <w:pPr>
      <w:widowControl w:val="0"/>
      <w:autoSpaceDE w:val="0"/>
      <w:autoSpaceDN w:val="0"/>
      <w:adjustRightInd w:val="0"/>
      <w:jc w:val="both"/>
    </w:pPr>
    <w:rPr>
      <w:rFonts w:ascii="五" w:eastAsia="五"/>
      <w:sz w:val="24"/>
    </w:rPr>
  </w:style>
  <w:style w:type="paragraph" w:customStyle="1" w:styleId="ParaCharCharCharCharCharCharChar">
    <w:name w:val="默认段落字体 Para Char Char Char Char Char Char Char"/>
    <w:basedOn w:val="a1"/>
    <w:qFormat/>
    <w:pPr>
      <w:widowControl/>
      <w:jc w:val="left"/>
    </w:pPr>
    <w:rPr>
      <w:rFonts w:ascii="Tahoma" w:hAnsi="Tahoma"/>
      <w:color w:val="000000"/>
      <w:kern w:val="0"/>
      <w:sz w:val="24"/>
      <w:szCs w:val="20"/>
    </w:rPr>
  </w:style>
  <w:style w:type="paragraph" w:customStyle="1" w:styleId="AOSignatory">
    <w:name w:val="AOSignatory"/>
    <w:basedOn w:val="AOBodyTxt"/>
    <w:next w:val="AODocTxt"/>
    <w:qFormat/>
    <w:pPr>
      <w:pageBreakBefore/>
      <w:spacing w:after="240"/>
      <w:jc w:val="center"/>
    </w:pPr>
    <w:rPr>
      <w:b/>
      <w:caps/>
    </w:rPr>
  </w:style>
  <w:style w:type="paragraph" w:customStyle="1" w:styleId="AOTitle18">
    <w:name w:val="AOTitle18"/>
    <w:basedOn w:val="AONormal"/>
    <w:qFormat/>
    <w:rPr>
      <w:b/>
      <w:sz w:val="36"/>
      <w:szCs w:val="36"/>
    </w:rPr>
  </w:style>
  <w:style w:type="paragraph" w:customStyle="1" w:styleId="CharCharCharChar4">
    <w:name w:val="Char Char Char Char4"/>
    <w:basedOn w:val="a1"/>
    <w:qFormat/>
    <w:pPr>
      <w:tabs>
        <w:tab w:val="left" w:pos="360"/>
      </w:tabs>
      <w:spacing w:before="312" w:after="312" w:line="360" w:lineRule="auto"/>
    </w:pPr>
    <w:rPr>
      <w:sz w:val="24"/>
    </w:rPr>
  </w:style>
  <w:style w:type="paragraph" w:customStyle="1" w:styleId="16">
    <w:name w:val="列表1"/>
    <w:basedOn w:val="a1"/>
    <w:next w:val="a1"/>
    <w:qFormat/>
    <w:pPr>
      <w:tabs>
        <w:tab w:val="left" w:pos="644"/>
      </w:tabs>
      <w:spacing w:line="360" w:lineRule="auto"/>
      <w:ind w:left="567" w:hanging="283"/>
    </w:pPr>
    <w:rPr>
      <w:szCs w:val="20"/>
    </w:rPr>
  </w:style>
  <w:style w:type="paragraph" w:customStyle="1" w:styleId="AOAppHead">
    <w:name w:val="AOAppHead"/>
    <w:basedOn w:val="AOAttachments"/>
    <w:next w:val="AOAppTitle"/>
    <w:qFormat/>
    <w:pPr>
      <w:pageBreakBefore/>
      <w:numPr>
        <w:numId w:val="19"/>
      </w:numPr>
      <w:outlineLvl w:val="0"/>
    </w:pPr>
  </w:style>
  <w:style w:type="paragraph" w:customStyle="1" w:styleId="Style39">
    <w:name w:val="_Style 39"/>
    <w:basedOn w:val="a1"/>
    <w:qFormat/>
    <w:pPr>
      <w:tabs>
        <w:tab w:val="left" w:pos="360"/>
      </w:tabs>
      <w:ind w:left="360" w:hanging="360"/>
    </w:pPr>
    <w:rPr>
      <w:szCs w:val="20"/>
    </w:rPr>
  </w:style>
  <w:style w:type="paragraph" w:customStyle="1" w:styleId="Char">
    <w:name w:val="Char"/>
    <w:basedOn w:val="a1"/>
    <w:qFormat/>
    <w:pPr>
      <w:tabs>
        <w:tab w:val="left" w:pos="360"/>
      </w:tabs>
      <w:spacing w:line="560" w:lineRule="exact"/>
    </w:pPr>
    <w:rPr>
      <w:rFonts w:ascii="方正黑体简体" w:eastAsia="方正黑体简体"/>
      <w:sz w:val="30"/>
      <w:szCs w:val="30"/>
    </w:rPr>
  </w:style>
  <w:style w:type="paragraph" w:customStyle="1" w:styleId="afffb">
    <w:name w:val="次标题"/>
    <w:basedOn w:val="3"/>
    <w:next w:val="a1"/>
    <w:qFormat/>
    <w:pPr>
      <w:numPr>
        <w:numId w:val="0"/>
      </w:numPr>
      <w:tabs>
        <w:tab w:val="clear" w:pos="720"/>
        <w:tab w:val="clear" w:pos="3835"/>
      </w:tabs>
      <w:spacing w:line="416" w:lineRule="auto"/>
      <w:jc w:val="left"/>
    </w:pPr>
    <w:rPr>
      <w:rFonts w:ascii="宋体" w:hAnsi="宋体"/>
      <w:sz w:val="24"/>
      <w:szCs w:val="24"/>
    </w:rPr>
  </w:style>
  <w:style w:type="paragraph" w:customStyle="1" w:styleId="AOSchPartHead">
    <w:name w:val="AOSchPartHead"/>
    <w:basedOn w:val="AOSchHead"/>
    <w:next w:val="AOSchPartTitle"/>
    <w:qFormat/>
    <w:pPr>
      <w:numPr>
        <w:ilvl w:val="1"/>
      </w:numPr>
      <w:tabs>
        <w:tab w:val="left" w:pos="780"/>
      </w:tabs>
      <w:ind w:firstLine="420"/>
    </w:pPr>
  </w:style>
  <w:style w:type="paragraph" w:customStyle="1" w:styleId="AOSchHead">
    <w:name w:val="AOSchHead"/>
    <w:basedOn w:val="AOAttachments"/>
    <w:next w:val="AOSchTitle"/>
    <w:qFormat/>
    <w:pPr>
      <w:pageBreakBefore/>
      <w:numPr>
        <w:numId w:val="20"/>
      </w:numPr>
      <w:outlineLvl w:val="0"/>
    </w:pPr>
  </w:style>
  <w:style w:type="paragraph" w:customStyle="1" w:styleId="xl2223908">
    <w:name w:val="xl2223908"/>
    <w:basedOn w:val="a1"/>
    <w:qFormat/>
    <w:pPr>
      <w:widowControl/>
      <w:spacing w:before="100" w:after="100"/>
      <w:jc w:val="center"/>
    </w:pPr>
    <w:rPr>
      <w:rFonts w:ascii="宋体" w:hAnsi="宋体" w:hint="eastAsia"/>
      <w:kern w:val="0"/>
      <w:sz w:val="24"/>
    </w:rPr>
  </w:style>
  <w:style w:type="paragraph" w:customStyle="1" w:styleId="AOHeading7">
    <w:name w:val="AOHeading7"/>
    <w:basedOn w:val="AOHeadings"/>
    <w:next w:val="AODocTxtL1"/>
    <w:qFormat/>
    <w:pPr>
      <w:keepNext/>
      <w:ind w:left="720"/>
      <w:outlineLvl w:val="6"/>
    </w:pPr>
    <w:rPr>
      <w:b/>
      <w:i/>
    </w:rPr>
  </w:style>
  <w:style w:type="paragraph" w:customStyle="1" w:styleId="150">
    <w:name w:val="样式 宋体 四号 行距: 1.5 倍行距"/>
    <w:basedOn w:val="a1"/>
    <w:qFormat/>
    <w:pPr>
      <w:spacing w:line="360" w:lineRule="auto"/>
    </w:pPr>
    <w:rPr>
      <w:rFonts w:ascii="宋体" w:hAnsi="宋体" w:hint="eastAsia"/>
      <w:sz w:val="24"/>
      <w:szCs w:val="20"/>
    </w:rPr>
  </w:style>
  <w:style w:type="paragraph" w:customStyle="1" w:styleId="AOGenNum3">
    <w:name w:val="AOGenNum3"/>
    <w:basedOn w:val="AOBodyTxt"/>
    <w:next w:val="AOGenNum3List"/>
    <w:qFormat/>
    <w:pPr>
      <w:numPr>
        <w:numId w:val="21"/>
      </w:numPr>
    </w:pPr>
  </w:style>
  <w:style w:type="paragraph" w:customStyle="1" w:styleId="AOGenNum3List">
    <w:name w:val="AOGenNum3List"/>
    <w:basedOn w:val="AOGenNum3"/>
    <w:qFormat/>
    <w:pPr>
      <w:numPr>
        <w:ilvl w:val="1"/>
      </w:numPr>
      <w:tabs>
        <w:tab w:val="clear" w:pos="720"/>
        <w:tab w:val="left" w:pos="840"/>
      </w:tabs>
      <w:ind w:left="840" w:hanging="420"/>
    </w:pPr>
  </w:style>
  <w:style w:type="paragraph" w:customStyle="1" w:styleId="AOAppPartHead">
    <w:name w:val="AOAppPartHead"/>
    <w:basedOn w:val="AOAppHead"/>
    <w:next w:val="AOAppPartTitle"/>
    <w:qFormat/>
    <w:pPr>
      <w:numPr>
        <w:ilvl w:val="1"/>
      </w:numPr>
      <w:tabs>
        <w:tab w:val="left" w:pos="840"/>
      </w:tabs>
      <w:ind w:left="840" w:hanging="420"/>
    </w:pPr>
  </w:style>
  <w:style w:type="paragraph" w:customStyle="1" w:styleId="CharCharCharCharChar1Char">
    <w:name w:val="Char Char Char Char Char1 Char"/>
    <w:basedOn w:val="a1"/>
    <w:qFormat/>
  </w:style>
  <w:style w:type="paragraph" w:customStyle="1" w:styleId="AOBullet3">
    <w:name w:val="AOBullet3"/>
    <w:basedOn w:val="AOBodyTxt"/>
    <w:qFormat/>
    <w:pPr>
      <w:numPr>
        <w:numId w:val="22"/>
      </w:numPr>
      <w:spacing w:before="120"/>
    </w:pPr>
  </w:style>
  <w:style w:type="paragraph" w:customStyle="1" w:styleId="AOAltHead2">
    <w:name w:val="AOAltHead2"/>
    <w:basedOn w:val="AOHead2"/>
    <w:next w:val="AODocTxtL1"/>
    <w:qFormat/>
    <w:pPr>
      <w:tabs>
        <w:tab w:val="clear" w:pos="720"/>
      </w:tabs>
    </w:pPr>
    <w:rPr>
      <w:b w:val="0"/>
    </w:rPr>
  </w:style>
  <w:style w:type="paragraph" w:customStyle="1" w:styleId="CharCharCharChar1">
    <w:name w:val="Char Char Char Char1"/>
    <w:basedOn w:val="a1"/>
    <w:qFormat/>
    <w:rPr>
      <w:szCs w:val="20"/>
    </w:rPr>
  </w:style>
  <w:style w:type="paragraph" w:customStyle="1" w:styleId="ParaChar">
    <w:name w:val="默认段落字体 Para Char"/>
    <w:basedOn w:val="a1"/>
    <w:qFormat/>
    <w:pPr>
      <w:numPr>
        <w:numId w:val="23"/>
      </w:numPr>
    </w:pPr>
    <w:rPr>
      <w:sz w:val="24"/>
    </w:rPr>
  </w:style>
  <w:style w:type="paragraph" w:customStyle="1" w:styleId="Char1">
    <w:name w:val="Char1"/>
    <w:basedOn w:val="a1"/>
    <w:qFormat/>
    <w:pPr>
      <w:tabs>
        <w:tab w:val="left" w:pos="832"/>
      </w:tabs>
      <w:ind w:left="832" w:hanging="420"/>
      <w:jc w:val="center"/>
    </w:pPr>
    <w:rPr>
      <w:rFonts w:ascii="楷体_GB2312" w:eastAsia="楷体_GB2312"/>
      <w:b/>
      <w:color w:val="000080"/>
      <w:sz w:val="30"/>
      <w:szCs w:val="30"/>
    </w:rPr>
  </w:style>
  <w:style w:type="paragraph" w:customStyle="1" w:styleId="AODocTxtL8">
    <w:name w:val="AODocTxtL8"/>
    <w:basedOn w:val="AODocTxt"/>
    <w:qFormat/>
    <w:pPr>
      <w:numPr>
        <w:ilvl w:val="8"/>
      </w:numPr>
      <w:tabs>
        <w:tab w:val="left" w:pos="6480"/>
      </w:tabs>
      <w:ind w:left="6480" w:hanging="360"/>
    </w:pPr>
  </w:style>
  <w:style w:type="paragraph" w:customStyle="1" w:styleId="TOC20">
    <w:name w:val="TOC 标题2"/>
    <w:basedOn w:val="1"/>
    <w:next w:val="a1"/>
    <w:uiPriority w:val="39"/>
    <w:unhideWhenUsed/>
    <w:qFormat/>
    <w:pPr>
      <w:widowControl/>
      <w:numPr>
        <w:numId w:val="0"/>
      </w:numPr>
      <w:tabs>
        <w:tab w:val="clear" w:pos="3835"/>
      </w:tabs>
      <w:spacing w:before="480" w:after="0" w:line="276" w:lineRule="auto"/>
      <w:jc w:val="left"/>
      <w:outlineLvl w:val="9"/>
    </w:pPr>
    <w:rPr>
      <w:rFonts w:ascii="Cambria" w:hAnsi="Cambria"/>
      <w:color w:val="365F91"/>
      <w:kern w:val="0"/>
      <w:sz w:val="28"/>
      <w:szCs w:val="28"/>
    </w:rPr>
  </w:style>
  <w:style w:type="character" w:customStyle="1" w:styleId="40">
    <w:name w:val="标题 4 字符"/>
    <w:link w:val="4"/>
    <w:qFormat/>
    <w:rPr>
      <w:rFonts w:ascii="Arial" w:eastAsia="黑体" w:hAnsi="Arial"/>
      <w:b/>
      <w:sz w:val="28"/>
    </w:rPr>
  </w:style>
  <w:style w:type="character" w:customStyle="1" w:styleId="af6">
    <w:name w:val="纯文本 字符"/>
    <w:link w:val="af5"/>
    <w:qFormat/>
    <w:rPr>
      <w:rFonts w:ascii="宋体" w:eastAsia="宋体" w:hAnsi="Courier New" w:cs="Times New Roman"/>
      <w:szCs w:val="20"/>
    </w:rPr>
  </w:style>
  <w:style w:type="character" w:customStyle="1" w:styleId="80">
    <w:name w:val="标题 8 字符"/>
    <w:link w:val="8"/>
    <w:qFormat/>
    <w:rPr>
      <w:rFonts w:ascii="Arial" w:eastAsia="黑体" w:hAnsi="Arial"/>
      <w:sz w:val="24"/>
    </w:rPr>
  </w:style>
  <w:style w:type="character" w:customStyle="1" w:styleId="afa">
    <w:name w:val="尾注文本 字符"/>
    <w:link w:val="af9"/>
    <w:semiHidden/>
    <w:qFormat/>
    <w:rPr>
      <w:rFonts w:ascii="Times New Roman" w:eastAsia="宋体" w:hAnsi="Times New Roman" w:cs="Times New Roman"/>
      <w:kern w:val="0"/>
      <w:sz w:val="16"/>
      <w:lang w:eastAsia="en-US"/>
    </w:rPr>
  </w:style>
  <w:style w:type="character" w:customStyle="1" w:styleId="26">
    <w:name w:val="正文文本 2 字符"/>
    <w:link w:val="25"/>
    <w:qFormat/>
    <w:rPr>
      <w:rFonts w:ascii="Times New Roman" w:eastAsia="宋体" w:hAnsi="Times New Roman" w:cs="Times New Roman"/>
      <w:sz w:val="28"/>
      <w:szCs w:val="20"/>
    </w:rPr>
  </w:style>
  <w:style w:type="character" w:customStyle="1" w:styleId="aff8">
    <w:name w:val="标题 字符"/>
    <w:link w:val="aff7"/>
    <w:qFormat/>
    <w:rPr>
      <w:rFonts w:ascii="Arial" w:eastAsia="宋体" w:hAnsi="Arial" w:cs="Times New Roman"/>
      <w:b/>
      <w:sz w:val="32"/>
      <w:szCs w:val="20"/>
    </w:rPr>
  </w:style>
  <w:style w:type="character" w:customStyle="1" w:styleId="Char10">
    <w:name w:val="正文文本 Char1"/>
    <w:uiPriority w:val="99"/>
    <w:semiHidden/>
    <w:qFormat/>
    <w:rPr>
      <w:kern w:val="2"/>
      <w:sz w:val="21"/>
    </w:rPr>
  </w:style>
  <w:style w:type="character" w:customStyle="1" w:styleId="17">
    <w:name w:val="不明显强调1"/>
    <w:uiPriority w:val="19"/>
    <w:qFormat/>
    <w:rPr>
      <w:i/>
      <w:iCs/>
      <w:color w:val="808080"/>
    </w:rPr>
  </w:style>
  <w:style w:type="character" w:customStyle="1" w:styleId="3Char1">
    <w:name w:val="正文文本 3 Char1"/>
    <w:uiPriority w:val="99"/>
    <w:semiHidden/>
    <w:qFormat/>
    <w:rPr>
      <w:sz w:val="16"/>
      <w:szCs w:val="16"/>
    </w:rPr>
  </w:style>
  <w:style w:type="character" w:customStyle="1" w:styleId="afffc">
    <w:name w:val="a"/>
    <w:basedOn w:val="a2"/>
    <w:qFormat/>
  </w:style>
  <w:style w:type="character" w:customStyle="1" w:styleId="50">
    <w:name w:val="标题 5 字符"/>
    <w:link w:val="5"/>
    <w:qFormat/>
    <w:rPr>
      <w:rFonts w:ascii="宋体"/>
      <w:b/>
      <w:sz w:val="28"/>
    </w:rPr>
  </w:style>
  <w:style w:type="character" w:customStyle="1" w:styleId="60">
    <w:name w:val="标题 6 字符"/>
    <w:link w:val="6"/>
    <w:qFormat/>
    <w:rPr>
      <w:rFonts w:ascii="Arial" w:eastAsia="黑体" w:hAnsi="Arial"/>
      <w:b/>
      <w:sz w:val="24"/>
    </w:rPr>
  </w:style>
  <w:style w:type="character" w:customStyle="1" w:styleId="lan18">
    <w:name w:val="lan18"/>
    <w:basedOn w:val="a2"/>
    <w:qFormat/>
  </w:style>
  <w:style w:type="character" w:customStyle="1" w:styleId="34">
    <w:name w:val="正文文本缩进 3 字符"/>
    <w:link w:val="33"/>
    <w:qFormat/>
    <w:rPr>
      <w:rFonts w:ascii="宋体" w:eastAsia="宋体" w:hAnsi="Times New Roman" w:cs="Times New Roman"/>
      <w:sz w:val="28"/>
      <w:szCs w:val="20"/>
    </w:rPr>
  </w:style>
  <w:style w:type="character" w:customStyle="1" w:styleId="afc">
    <w:name w:val="批注框文本 字符"/>
    <w:link w:val="afb"/>
    <w:qFormat/>
    <w:rPr>
      <w:rFonts w:ascii="Times New Roman" w:eastAsia="宋体" w:hAnsi="Times New Roman" w:cs="Times New Roman"/>
      <w:sz w:val="18"/>
      <w:szCs w:val="18"/>
    </w:rPr>
  </w:style>
  <w:style w:type="character" w:customStyle="1" w:styleId="f221">
    <w:name w:val="f221"/>
    <w:qFormat/>
    <w:rPr>
      <w:rFonts w:ascii="ˎ̥" w:hAnsi="ˎ̥" w:hint="default"/>
      <w:b/>
      <w:bCs/>
      <w:color w:val="07519A"/>
      <w:sz w:val="33"/>
      <w:szCs w:val="33"/>
    </w:rPr>
  </w:style>
  <w:style w:type="character" w:customStyle="1" w:styleId="Char0">
    <w:name w:val="正文首行缩进 Char"/>
    <w:qFormat/>
    <w:rPr>
      <w:rFonts w:ascii="Times New Roman" w:eastAsia="宋体" w:hAnsi="Times New Roman" w:cs="Times New Roman"/>
      <w:sz w:val="24"/>
      <w:szCs w:val="24"/>
    </w:rPr>
  </w:style>
  <w:style w:type="character" w:customStyle="1" w:styleId="aa">
    <w:name w:val="正文文本 字符"/>
    <w:link w:val="a9"/>
    <w:qFormat/>
    <w:rPr>
      <w:rFonts w:ascii="Times New Roman" w:eastAsia="宋体" w:hAnsi="Times New Roman" w:cs="Times New Roman"/>
      <w:sz w:val="24"/>
      <w:szCs w:val="24"/>
    </w:rPr>
  </w:style>
  <w:style w:type="character" w:customStyle="1" w:styleId="Char11">
    <w:name w:val="批注主题 Char1"/>
    <w:uiPriority w:val="99"/>
    <w:semiHidden/>
    <w:qFormat/>
    <w:rPr>
      <w:b/>
      <w:bCs/>
      <w:sz w:val="21"/>
    </w:rPr>
  </w:style>
  <w:style w:type="character" w:customStyle="1" w:styleId="90">
    <w:name w:val="标题 9 字符"/>
    <w:link w:val="9"/>
    <w:qFormat/>
    <w:rPr>
      <w:rFonts w:ascii="Arial" w:eastAsia="黑体" w:hAnsi="Arial"/>
    </w:rPr>
  </w:style>
  <w:style w:type="character" w:customStyle="1" w:styleId="18">
    <w:name w:val="明显强调1"/>
    <w:uiPriority w:val="21"/>
    <w:qFormat/>
    <w:rPr>
      <w:b/>
      <w:bCs/>
      <w:i/>
      <w:iCs/>
      <w:color w:val="4F81BD"/>
    </w:rPr>
  </w:style>
  <w:style w:type="character" w:customStyle="1" w:styleId="affa">
    <w:name w:val="批注主题 字符"/>
    <w:link w:val="aff9"/>
    <w:qFormat/>
    <w:rPr>
      <w:rFonts w:ascii="Times New Roman" w:eastAsia="宋体" w:hAnsi="Times New Roman" w:cs="Times New Roman"/>
      <w:b/>
      <w:bCs/>
      <w:sz w:val="24"/>
      <w:szCs w:val="24"/>
    </w:rPr>
  </w:style>
  <w:style w:type="character" w:customStyle="1" w:styleId="af2">
    <w:name w:val="批注文字 字符"/>
    <w:link w:val="af1"/>
    <w:qFormat/>
    <w:rPr>
      <w:rFonts w:ascii="Times New Roman" w:eastAsia="宋体" w:hAnsi="Times New Roman" w:cs="Times New Roman"/>
      <w:sz w:val="24"/>
      <w:szCs w:val="20"/>
    </w:rPr>
  </w:style>
  <w:style w:type="character" w:customStyle="1" w:styleId="Char12">
    <w:name w:val="标题 Char1"/>
    <w:uiPriority w:val="10"/>
    <w:qFormat/>
    <w:rPr>
      <w:rFonts w:ascii="Cambria" w:hAnsi="Cambria" w:cs="Times New Roman"/>
      <w:b/>
      <w:bCs/>
      <w:kern w:val="2"/>
      <w:sz w:val="32"/>
      <w:szCs w:val="32"/>
    </w:rPr>
  </w:style>
  <w:style w:type="character" w:customStyle="1" w:styleId="style21">
    <w:name w:val="style21"/>
    <w:qFormat/>
    <w:rPr>
      <w:color w:val="006699"/>
      <w:spacing w:val="31680"/>
      <w:sz w:val="18"/>
      <w:szCs w:val="18"/>
      <w:u w:val="none"/>
    </w:rPr>
  </w:style>
  <w:style w:type="character" w:customStyle="1" w:styleId="big1">
    <w:name w:val="big1"/>
    <w:qFormat/>
    <w:rPr>
      <w:spacing w:val="360"/>
      <w:sz w:val="22"/>
      <w:szCs w:val="22"/>
    </w:rPr>
  </w:style>
  <w:style w:type="character" w:customStyle="1" w:styleId="30">
    <w:name w:val="标题 3 字符"/>
    <w:link w:val="3"/>
    <w:qFormat/>
    <w:rPr>
      <w:b/>
      <w:bCs/>
      <w:sz w:val="32"/>
      <w:szCs w:val="32"/>
    </w:rPr>
  </w:style>
  <w:style w:type="character" w:customStyle="1" w:styleId="unnamed11">
    <w:name w:val="unnamed11"/>
    <w:qFormat/>
    <w:rPr>
      <w:rFonts w:ascii="宋体" w:eastAsia="宋体" w:hAnsi="宋体" w:hint="eastAsia"/>
      <w:sz w:val="18"/>
    </w:rPr>
  </w:style>
  <w:style w:type="character" w:customStyle="1" w:styleId="aff3">
    <w:name w:val="副标题 字符"/>
    <w:link w:val="aff2"/>
    <w:qFormat/>
    <w:rPr>
      <w:rFonts w:ascii="Cambria" w:eastAsia="宋体" w:hAnsi="Cambria" w:cs="Times New Roman"/>
      <w:b/>
      <w:kern w:val="28"/>
      <w:sz w:val="24"/>
      <w:szCs w:val="32"/>
    </w:rPr>
  </w:style>
  <w:style w:type="character" w:customStyle="1" w:styleId="24">
    <w:name w:val="正文文本缩进 2 字符"/>
    <w:link w:val="23"/>
    <w:qFormat/>
    <w:rPr>
      <w:rFonts w:ascii="Times New Roman" w:eastAsia="仿宋_GB2312" w:hAnsi="Times New Roman" w:cs="Times New Roman"/>
      <w:sz w:val="28"/>
      <w:szCs w:val="24"/>
    </w:rPr>
  </w:style>
  <w:style w:type="character" w:customStyle="1" w:styleId="af8">
    <w:name w:val="日期 字符"/>
    <w:link w:val="af7"/>
    <w:qFormat/>
    <w:rPr>
      <w:rFonts w:ascii="宋体" w:eastAsia="仿宋_GB2312" w:hAnsi="宋体" w:cs="Times New Roman"/>
      <w:sz w:val="28"/>
      <w:szCs w:val="24"/>
    </w:rPr>
  </w:style>
  <w:style w:type="character" w:customStyle="1" w:styleId="a7">
    <w:name w:val="电子邮件签名 字符"/>
    <w:link w:val="a6"/>
    <w:qFormat/>
    <w:rPr>
      <w:rFonts w:ascii="Times New Roman" w:eastAsia="宋体" w:hAnsi="Times New Roman" w:cs="Times New Roman"/>
      <w:kern w:val="0"/>
      <w:szCs w:val="21"/>
    </w:rPr>
  </w:style>
  <w:style w:type="character" w:customStyle="1" w:styleId="z-Char">
    <w:name w:val="z-窗体顶端 Char"/>
    <w:link w:val="z-1"/>
    <w:uiPriority w:val="99"/>
    <w:qFormat/>
    <w:rPr>
      <w:rFonts w:ascii="Arial" w:eastAsia="宋体" w:hAnsi="Arial" w:cs="Arial"/>
      <w:vanish/>
      <w:kern w:val="0"/>
      <w:sz w:val="16"/>
      <w:szCs w:val="16"/>
    </w:rPr>
  </w:style>
  <w:style w:type="character" w:customStyle="1" w:styleId="AOHidden">
    <w:name w:val="AOHidden"/>
    <w:qFormat/>
    <w:rPr>
      <w:vanish/>
      <w:color w:val="auto"/>
    </w:rPr>
  </w:style>
  <w:style w:type="character" w:customStyle="1" w:styleId="md1">
    <w:name w:val="md1"/>
    <w:qFormat/>
    <w:rPr>
      <w:spacing w:val="360"/>
      <w:sz w:val="25"/>
      <w:szCs w:val="25"/>
    </w:rPr>
  </w:style>
  <w:style w:type="character" w:customStyle="1" w:styleId="afffd">
    <w:name w:val="样式 宋体"/>
    <w:qFormat/>
    <w:rPr>
      <w:rFonts w:ascii="Times New Roman" w:eastAsia="宋体" w:hAnsi="Times New Roman"/>
    </w:rPr>
  </w:style>
  <w:style w:type="character" w:customStyle="1" w:styleId="aff5">
    <w:name w:val="脚注文本 字符"/>
    <w:link w:val="aff4"/>
    <w:qFormat/>
    <w:rPr>
      <w:rFonts w:ascii="Times New Roman" w:eastAsia="宋体" w:hAnsi="Times New Roman" w:cs="Times New Roman"/>
      <w:sz w:val="18"/>
      <w:szCs w:val="18"/>
    </w:rPr>
  </w:style>
  <w:style w:type="character" w:customStyle="1" w:styleId="af4">
    <w:name w:val="正文文本缩进 字符"/>
    <w:link w:val="af3"/>
    <w:qFormat/>
    <w:rPr>
      <w:rFonts w:ascii="宋体" w:eastAsia="宋体" w:hAnsi="Times New Roman" w:cs="Times New Roman"/>
      <w:kern w:val="0"/>
      <w:sz w:val="24"/>
      <w:szCs w:val="20"/>
    </w:rPr>
  </w:style>
  <w:style w:type="character" w:customStyle="1" w:styleId="hangju">
    <w:name w:val="hangju"/>
    <w:basedOn w:val="a2"/>
    <w:qFormat/>
  </w:style>
  <w:style w:type="character" w:customStyle="1" w:styleId="tt11">
    <w:name w:val="tt11"/>
    <w:qFormat/>
    <w:rPr>
      <w:spacing w:val="400"/>
      <w:sz w:val="22"/>
      <w:szCs w:val="22"/>
    </w:rPr>
  </w:style>
  <w:style w:type="character" w:customStyle="1" w:styleId="70">
    <w:name w:val="标题 7 字符"/>
    <w:link w:val="7"/>
    <w:qFormat/>
    <w:rPr>
      <w:rFonts w:ascii="宋体"/>
      <w:b/>
      <w:sz w:val="24"/>
    </w:rPr>
  </w:style>
  <w:style w:type="character" w:customStyle="1" w:styleId="Char13">
    <w:name w:val="脚注文本 Char1"/>
    <w:uiPriority w:val="99"/>
    <w:semiHidden/>
    <w:qFormat/>
    <w:rPr>
      <w:sz w:val="18"/>
      <w:szCs w:val="18"/>
    </w:rPr>
  </w:style>
  <w:style w:type="character" w:customStyle="1" w:styleId="22">
    <w:name w:val="标题 2 字符"/>
    <w:link w:val="21"/>
    <w:qFormat/>
    <w:rPr>
      <w:rFonts w:ascii="Arial" w:eastAsia="黑体" w:hAnsi="Arial"/>
      <w:b/>
      <w:bCs/>
      <w:sz w:val="32"/>
      <w:szCs w:val="32"/>
    </w:rPr>
  </w:style>
  <w:style w:type="character" w:customStyle="1" w:styleId="affc">
    <w:name w:val="正文文本首行缩进 字符"/>
    <w:link w:val="affb"/>
    <w:uiPriority w:val="99"/>
    <w:qFormat/>
    <w:rPr>
      <w:rFonts w:ascii="Times New Roman" w:eastAsia="宋体" w:hAnsi="Times New Roman" w:cs="Times New Roman"/>
      <w:sz w:val="24"/>
      <w:szCs w:val="24"/>
    </w:rPr>
  </w:style>
  <w:style w:type="character" w:customStyle="1" w:styleId="aff1">
    <w:name w:val="页眉 字符"/>
    <w:link w:val="aff0"/>
    <w:uiPriority w:val="99"/>
    <w:qFormat/>
    <w:rPr>
      <w:rFonts w:ascii="Times New Roman" w:eastAsia="宋体" w:hAnsi="Times New Roman" w:cs="Times New Roman"/>
      <w:sz w:val="18"/>
      <w:szCs w:val="18"/>
    </w:rPr>
  </w:style>
  <w:style w:type="character" w:customStyle="1" w:styleId="da">
    <w:name w:val="da"/>
    <w:basedOn w:val="a2"/>
    <w:qFormat/>
  </w:style>
  <w:style w:type="character" w:customStyle="1" w:styleId="10">
    <w:name w:val="标题 1 字符"/>
    <w:link w:val="1"/>
    <w:qFormat/>
    <w:rPr>
      <w:b/>
      <w:bCs/>
      <w:kern w:val="44"/>
      <w:sz w:val="44"/>
      <w:szCs w:val="44"/>
    </w:rPr>
  </w:style>
  <w:style w:type="character" w:customStyle="1" w:styleId="read">
    <w:name w:val="read"/>
    <w:basedOn w:val="a2"/>
    <w:qFormat/>
  </w:style>
  <w:style w:type="character" w:customStyle="1" w:styleId="2Char1">
    <w:name w:val="正文文本缩进 2 Char1"/>
    <w:semiHidden/>
    <w:qFormat/>
    <w:rPr>
      <w:sz w:val="21"/>
    </w:rPr>
  </w:style>
  <w:style w:type="character" w:customStyle="1" w:styleId="32">
    <w:name w:val="正文文本 3 字符"/>
    <w:link w:val="31"/>
    <w:qFormat/>
    <w:rPr>
      <w:rFonts w:ascii="Times New Roman" w:eastAsia="宋体" w:hAnsi="Times New Roman" w:cs="Times New Roman"/>
      <w:kern w:val="0"/>
      <w:sz w:val="24"/>
      <w:szCs w:val="20"/>
      <w:u w:val="single"/>
    </w:rPr>
  </w:style>
  <w:style w:type="character" w:customStyle="1" w:styleId="HTML0">
    <w:name w:val="HTML 预设格式 字符"/>
    <w:link w:val="HTML"/>
    <w:qFormat/>
    <w:rPr>
      <w:rFonts w:ascii="Arial Unicode MS" w:eastAsia="Arial Unicode MS" w:hAnsi="Arial Unicode MS" w:cs="Arial Unicode MS"/>
      <w:kern w:val="0"/>
      <w:sz w:val="20"/>
      <w:szCs w:val="20"/>
    </w:rPr>
  </w:style>
  <w:style w:type="character" w:customStyle="1" w:styleId="z-Char0">
    <w:name w:val="z-窗体底端 Char"/>
    <w:uiPriority w:val="99"/>
    <w:qFormat/>
    <w:rPr>
      <w:rFonts w:ascii="Arial" w:eastAsia="宋体" w:hAnsi="Arial" w:cs="Arial"/>
      <w:vanish/>
      <w:kern w:val="0"/>
      <w:sz w:val="16"/>
      <w:szCs w:val="16"/>
    </w:rPr>
  </w:style>
  <w:style w:type="character" w:customStyle="1" w:styleId="afe">
    <w:name w:val="页脚 字符"/>
    <w:link w:val="afd"/>
    <w:uiPriority w:val="99"/>
    <w:qFormat/>
    <w:rPr>
      <w:rFonts w:ascii="Times New Roman" w:eastAsia="宋体" w:hAnsi="Times New Roman" w:cs="Times New Roman"/>
      <w:sz w:val="18"/>
      <w:szCs w:val="18"/>
    </w:rPr>
  </w:style>
  <w:style w:type="character" w:customStyle="1" w:styleId="af">
    <w:name w:val="文档结构图 字符"/>
    <w:link w:val="ae"/>
    <w:qFormat/>
    <w:rPr>
      <w:rFonts w:ascii="Times New Roman" w:eastAsia="宋体" w:hAnsi="Times New Roman" w:cs="Times New Roman"/>
      <w:szCs w:val="24"/>
      <w:shd w:val="clear" w:color="auto" w:fill="000080"/>
    </w:rPr>
  </w:style>
  <w:style w:type="character" w:customStyle="1" w:styleId="Char14">
    <w:name w:val="日期 Char1"/>
    <w:uiPriority w:val="99"/>
    <w:semiHidden/>
    <w:qFormat/>
    <w:rPr>
      <w:sz w:val="21"/>
    </w:rPr>
  </w:style>
  <w:style w:type="character" w:customStyle="1" w:styleId="151">
    <w:name w:val="15"/>
    <w:basedOn w:val="a2"/>
    <w:qFormat/>
  </w:style>
  <w:style w:type="character" w:customStyle="1" w:styleId="19">
    <w:name w:val="批注引用1"/>
    <w:qFormat/>
    <w:rPr>
      <w:sz w:val="21"/>
      <w:szCs w:val="21"/>
    </w:rPr>
  </w:style>
  <w:style w:type="character" w:customStyle="1" w:styleId="Char15">
    <w:name w:val="批注文字 Char1"/>
    <w:uiPriority w:val="99"/>
    <w:semiHidden/>
    <w:qFormat/>
    <w:rPr>
      <w:sz w:val="21"/>
    </w:rPr>
  </w:style>
  <w:style w:type="paragraph" w:customStyle="1" w:styleId="1a">
    <w:name w:val="修订1"/>
    <w:hidden/>
    <w:uiPriority w:val="99"/>
    <w:unhideWhenUsed/>
    <w:qFormat/>
    <w:rPr>
      <w:kern w:val="2"/>
      <w:sz w:val="21"/>
      <w:szCs w:val="24"/>
    </w:rPr>
  </w:style>
  <w:style w:type="paragraph" w:customStyle="1" w:styleId="1b">
    <w:name w:val="无间隔1"/>
    <w:link w:val="Char7"/>
    <w:uiPriority w:val="1"/>
    <w:qFormat/>
    <w:rPr>
      <w:rFonts w:ascii="Calibri" w:hAnsi="Calibri"/>
      <w:sz w:val="22"/>
      <w:szCs w:val="22"/>
    </w:rPr>
  </w:style>
  <w:style w:type="character" w:customStyle="1" w:styleId="Char7">
    <w:name w:val="无间隔 Char"/>
    <w:link w:val="1b"/>
    <w:uiPriority w:val="1"/>
    <w:qFormat/>
    <w:rPr>
      <w:rFonts w:ascii="Calibri" w:hAnsi="Calibri"/>
      <w:sz w:val="22"/>
      <w:szCs w:val="22"/>
    </w:rPr>
  </w:style>
  <w:style w:type="paragraph" w:customStyle="1" w:styleId="-">
    <w:name w:val="模板-正文"/>
    <w:basedOn w:val="aff6"/>
    <w:link w:val="-Char"/>
    <w:qFormat/>
    <w:pPr>
      <w:shd w:val="clear" w:color="auto" w:fill="FFFFFF"/>
      <w:snapToGrid w:val="0"/>
      <w:spacing w:before="0" w:beforeAutospacing="0" w:after="0" w:afterAutospacing="0" w:line="360" w:lineRule="auto"/>
      <w:ind w:firstLineChars="200" w:firstLine="200"/>
      <w:jc w:val="both"/>
    </w:pPr>
    <w:rPr>
      <w:rFonts w:ascii="宋体" w:eastAsia="宋体" w:hAnsi="宋体" w:cs="Times New Roman" w:hint="default"/>
      <w:color w:val="222222"/>
      <w:sz w:val="21"/>
      <w:szCs w:val="21"/>
    </w:rPr>
  </w:style>
  <w:style w:type="character" w:customStyle="1" w:styleId="-Char">
    <w:name w:val="模板-正文 Char"/>
    <w:link w:val="-"/>
    <w:qFormat/>
    <w:rPr>
      <w:rFonts w:ascii="宋体" w:hAnsi="宋体"/>
      <w:color w:val="222222"/>
      <w:sz w:val="21"/>
      <w:szCs w:val="21"/>
      <w:shd w:val="clear" w:color="auto" w:fill="FFFFFF"/>
    </w:rPr>
  </w:style>
  <w:style w:type="paragraph" w:customStyle="1" w:styleId="ListParagraph1">
    <w:name w:val="List Paragraph1"/>
    <w:basedOn w:val="a1"/>
    <w:qFormat/>
    <w:pPr>
      <w:spacing w:line="360" w:lineRule="auto"/>
      <w:ind w:firstLineChars="200" w:firstLine="420"/>
    </w:pPr>
    <w:rPr>
      <w:sz w:val="24"/>
    </w:rPr>
  </w:style>
  <w:style w:type="paragraph" w:customStyle="1" w:styleId="210">
    <w:name w:val="正文文本缩进 21"/>
    <w:basedOn w:val="a1"/>
    <w:qFormat/>
    <w:pPr>
      <w:spacing w:after="120" w:line="360" w:lineRule="auto"/>
      <w:ind w:firstLineChars="200" w:firstLine="480"/>
    </w:pPr>
    <w:rPr>
      <w:rFonts w:ascii="宋体" w:hAnsi="宋体"/>
      <w:color w:val="FF0000"/>
      <w:sz w:val="24"/>
    </w:rPr>
  </w:style>
  <w:style w:type="paragraph" w:customStyle="1" w:styleId="1c">
    <w:name w:val="列表段落1"/>
    <w:basedOn w:val="a1"/>
    <w:uiPriority w:val="34"/>
    <w:qFormat/>
    <w:pPr>
      <w:ind w:firstLineChars="200" w:firstLine="420"/>
    </w:pPr>
  </w:style>
  <w:style w:type="paragraph" w:customStyle="1" w:styleId="TOC30">
    <w:name w:val="TOC 标题3"/>
    <w:basedOn w:val="1"/>
    <w:next w:val="a1"/>
    <w:uiPriority w:val="39"/>
    <w:unhideWhenUsed/>
    <w:qFormat/>
    <w:pPr>
      <w:widowControl/>
      <w:numPr>
        <w:numId w:val="0"/>
      </w:numPr>
      <w:tabs>
        <w:tab w:val="clear" w:pos="3835"/>
      </w:tabs>
      <w:spacing w:before="240" w:after="0" w:line="259" w:lineRule="auto"/>
      <w:jc w:val="left"/>
      <w:outlineLvl w:val="9"/>
    </w:pPr>
    <w:rPr>
      <w:rFonts w:ascii="Cambria" w:hAnsi="Cambria"/>
      <w:b w:val="0"/>
      <w:bCs w:val="0"/>
      <w:color w:val="365F91"/>
      <w:kern w:val="0"/>
      <w:sz w:val="32"/>
      <w:szCs w:val="32"/>
    </w:rPr>
  </w:style>
  <w:style w:type="table" w:customStyle="1" w:styleId="-0">
    <w:name w:val="模板-表格"/>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BFBFBF"/>
      </w:tcPr>
    </w:tblStylePr>
  </w:style>
  <w:style w:type="paragraph" w:customStyle="1" w:styleId="-1">
    <w:name w:val="模板-正文无缩进"/>
    <w:basedOn w:val="-"/>
    <w:link w:val="-Char0"/>
    <w:qFormat/>
    <w:pPr>
      <w:shd w:val="clear" w:color="auto" w:fill="auto"/>
      <w:ind w:firstLineChars="0" w:firstLine="0"/>
    </w:pPr>
    <w:rPr>
      <w:lang w:val="zh-CN"/>
    </w:rPr>
  </w:style>
  <w:style w:type="character" w:customStyle="1" w:styleId="-Char0">
    <w:name w:val="模板-正文无缩进 Char"/>
    <w:basedOn w:val="-Char"/>
    <w:link w:val="-1"/>
    <w:qFormat/>
    <w:rPr>
      <w:rFonts w:ascii="宋体" w:hAnsi="宋体"/>
      <w:color w:val="222222"/>
      <w:sz w:val="21"/>
      <w:szCs w:val="21"/>
      <w:shd w:val="clear" w:color="auto" w:fill="FFFFFF"/>
      <w:lang w:val="zh-CN" w:eastAsia="zh-CN"/>
    </w:rPr>
  </w:style>
  <w:style w:type="paragraph" w:customStyle="1" w:styleId="biaogeleft">
    <w:name w:val="biaoge_left"/>
    <w:basedOn w:val="a1"/>
    <w:qFormat/>
    <w:pPr>
      <w:widowControl/>
      <w:autoSpaceDE w:val="0"/>
      <w:autoSpaceDN w:val="0"/>
      <w:adjustRightInd w:val="0"/>
      <w:spacing w:before="29" w:line="288" w:lineRule="auto"/>
      <w:ind w:left="15"/>
      <w:jc w:val="left"/>
    </w:pPr>
    <w:rPr>
      <w:rFonts w:ascii="宋体" w:hAnsi="宋体" w:cs="宋体"/>
      <w:kern w:val="0"/>
      <w:sz w:val="24"/>
    </w:rPr>
  </w:style>
  <w:style w:type="paragraph" w:customStyle="1" w:styleId="zhangjiep">
    <w:name w:val="zhangjie_p"/>
    <w:basedOn w:val="a1"/>
    <w:qFormat/>
    <w:pPr>
      <w:widowControl/>
      <w:autoSpaceDE w:val="0"/>
      <w:autoSpaceDN w:val="0"/>
      <w:adjustRightInd w:val="0"/>
      <w:spacing w:before="24" w:line="288" w:lineRule="auto"/>
      <w:ind w:left="15"/>
      <w:jc w:val="left"/>
      <w:outlineLvl w:val="1"/>
    </w:pPr>
    <w:rPr>
      <w:rFonts w:ascii="宋体" w:hAnsi="宋体" w:cs="宋体"/>
      <w:kern w:val="0"/>
      <w:sz w:val="24"/>
    </w:rPr>
  </w:style>
  <w:style w:type="paragraph" w:customStyle="1" w:styleId="zhangjiep2">
    <w:name w:val="zhangjie_p2"/>
    <w:basedOn w:val="a1"/>
    <w:qFormat/>
    <w:pPr>
      <w:widowControl/>
      <w:autoSpaceDE w:val="0"/>
      <w:autoSpaceDN w:val="0"/>
      <w:adjustRightInd w:val="0"/>
      <w:spacing w:before="24" w:line="288" w:lineRule="auto"/>
      <w:ind w:left="15"/>
      <w:jc w:val="left"/>
    </w:pPr>
    <w:rPr>
      <w:rFonts w:ascii="宋体" w:hAnsi="宋体" w:cs="宋体"/>
      <w:kern w:val="0"/>
      <w:sz w:val="24"/>
    </w:rPr>
  </w:style>
  <w:style w:type="paragraph" w:customStyle="1" w:styleId="biaogecenter">
    <w:name w:val="biaoge_center"/>
    <w:basedOn w:val="a1"/>
    <w:qFormat/>
    <w:pPr>
      <w:widowControl/>
      <w:autoSpaceDE w:val="0"/>
      <w:autoSpaceDN w:val="0"/>
      <w:adjustRightInd w:val="0"/>
      <w:spacing w:before="29" w:line="288" w:lineRule="auto"/>
      <w:ind w:left="15"/>
      <w:jc w:val="center"/>
    </w:pPr>
    <w:rPr>
      <w:rFonts w:ascii="宋体" w:hAnsi="宋体" w:cs="宋体"/>
      <w:kern w:val="0"/>
      <w:sz w:val="24"/>
    </w:rPr>
  </w:style>
  <w:style w:type="paragraph" w:customStyle="1" w:styleId="biaogeright">
    <w:name w:val="biaoge_right"/>
    <w:basedOn w:val="a1"/>
    <w:qFormat/>
    <w:pPr>
      <w:widowControl/>
      <w:autoSpaceDE w:val="0"/>
      <w:autoSpaceDN w:val="0"/>
      <w:adjustRightInd w:val="0"/>
      <w:spacing w:before="29" w:line="288" w:lineRule="auto"/>
      <w:ind w:left="15"/>
      <w:jc w:val="right"/>
    </w:pPr>
    <w:rPr>
      <w:rFonts w:ascii="宋体" w:hAnsi="宋体" w:cs="宋体"/>
      <w:kern w:val="0"/>
      <w:sz w:val="24"/>
    </w:rPr>
  </w:style>
  <w:style w:type="paragraph" w:customStyle="1" w:styleId="neirong">
    <w:name w:val="neirong"/>
    <w:basedOn w:val="a1"/>
    <w:qFormat/>
    <w:pPr>
      <w:widowControl/>
      <w:autoSpaceDE w:val="0"/>
      <w:autoSpaceDN w:val="0"/>
      <w:adjustRightInd w:val="0"/>
      <w:spacing w:before="29" w:line="288" w:lineRule="auto"/>
      <w:ind w:left="15"/>
      <w:jc w:val="left"/>
    </w:pPr>
    <w:rPr>
      <w:rFonts w:ascii="宋体" w:hAnsi="宋体" w:cs="宋体"/>
      <w:kern w:val="0"/>
      <w:sz w:val="24"/>
    </w:rPr>
  </w:style>
  <w:style w:type="character" w:customStyle="1" w:styleId="1d">
    <w:name w:val="未处理的提及1"/>
    <w:basedOn w:val="a2"/>
    <w:uiPriority w:val="99"/>
    <w:unhideWhenUsed/>
    <w:qFormat/>
    <w:rPr>
      <w:color w:val="605E5C"/>
      <w:shd w:val="clear" w:color="auto" w:fill="E1DFDD"/>
    </w:rPr>
  </w:style>
  <w:style w:type="character" w:customStyle="1" w:styleId="newinfotime">
    <w:name w:val="new_info_time"/>
    <w:basedOn w:val="a2"/>
    <w:qFormat/>
  </w:style>
  <w:style w:type="character" w:customStyle="1" w:styleId="27">
    <w:name w:val="未处理的提及2"/>
    <w:basedOn w:val="a2"/>
    <w:uiPriority w:val="99"/>
    <w:unhideWhenUsed/>
    <w:qFormat/>
    <w:rPr>
      <w:color w:val="605E5C"/>
      <w:shd w:val="clear" w:color="auto" w:fill="E1DFDD"/>
    </w:rPr>
  </w:style>
  <w:style w:type="character" w:customStyle="1" w:styleId="36">
    <w:name w:val="未处理的提及3"/>
    <w:basedOn w:val="a2"/>
    <w:uiPriority w:val="99"/>
    <w:semiHidden/>
    <w:unhideWhenUsed/>
    <w:qFormat/>
    <w:rPr>
      <w:color w:val="605E5C"/>
      <w:shd w:val="clear" w:color="auto" w:fill="E1DFDD"/>
    </w:rPr>
  </w:style>
  <w:style w:type="paragraph" w:customStyle="1" w:styleId="28">
    <w:name w:val="修订2"/>
    <w:hidden/>
    <w:uiPriority w:val="99"/>
    <w:semiHidden/>
    <w:qFormat/>
    <w:rPr>
      <w:kern w:val="2"/>
      <w:sz w:val="21"/>
      <w:szCs w:val="24"/>
    </w:rPr>
  </w:style>
  <w:style w:type="character" w:customStyle="1" w:styleId="41">
    <w:name w:val="未处理的提及4"/>
    <w:basedOn w:val="a2"/>
    <w:uiPriority w:val="99"/>
    <w:semiHidden/>
    <w:unhideWhenUsed/>
    <w:qFormat/>
    <w:rPr>
      <w:color w:val="605E5C"/>
      <w:shd w:val="clear" w:color="auto" w:fill="E1DFDD"/>
    </w:rPr>
  </w:style>
  <w:style w:type="paragraph" w:styleId="afffe">
    <w:name w:val="List Paragraph"/>
    <w:basedOn w:val="a1"/>
    <w:uiPriority w:val="99"/>
    <w:qFormat/>
    <w:pPr>
      <w:ind w:firstLineChars="200" w:firstLine="420"/>
    </w:pPr>
  </w:style>
  <w:style w:type="character" w:customStyle="1" w:styleId="51">
    <w:name w:val="未处理的提及5"/>
    <w:basedOn w:val="a2"/>
    <w:uiPriority w:val="99"/>
    <w:semiHidden/>
    <w:unhideWhenUsed/>
    <w:qFormat/>
    <w:rPr>
      <w:color w:val="605E5C"/>
      <w:shd w:val="clear" w:color="auto" w:fill="E1DFDD"/>
    </w:rPr>
  </w:style>
  <w:style w:type="paragraph" w:styleId="affff">
    <w:name w:val="Revision"/>
    <w:hidden/>
    <w:uiPriority w:val="99"/>
    <w:semiHidden/>
    <w:rsid w:val="00277413"/>
    <w:rPr>
      <w:kern w:val="2"/>
      <w:sz w:val="21"/>
      <w:szCs w:val="24"/>
    </w:rPr>
  </w:style>
  <w:style w:type="character" w:customStyle="1" w:styleId="61">
    <w:name w:val="未处理的提及6"/>
    <w:basedOn w:val="a2"/>
    <w:uiPriority w:val="99"/>
    <w:semiHidden/>
    <w:unhideWhenUsed/>
    <w:rsid w:val="008520F9"/>
    <w:rPr>
      <w:color w:val="605E5C"/>
      <w:shd w:val="clear" w:color="auto" w:fill="E1DFDD"/>
    </w:rPr>
  </w:style>
  <w:style w:type="character" w:customStyle="1" w:styleId="71">
    <w:name w:val="未处理的提及7"/>
    <w:basedOn w:val="a2"/>
    <w:uiPriority w:val="99"/>
    <w:semiHidden/>
    <w:unhideWhenUsed/>
    <w:rsid w:val="00732904"/>
    <w:rPr>
      <w:color w:val="605E5C"/>
      <w:shd w:val="clear" w:color="auto" w:fill="E1DFDD"/>
    </w:rPr>
  </w:style>
  <w:style w:type="character" w:styleId="affff0">
    <w:name w:val="Unresolved Mention"/>
    <w:basedOn w:val="a2"/>
    <w:uiPriority w:val="99"/>
    <w:semiHidden/>
    <w:unhideWhenUsed/>
    <w:rsid w:val="00F61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888141">
      <w:bodyDiv w:val="1"/>
      <w:marLeft w:val="0"/>
      <w:marRight w:val="0"/>
      <w:marTop w:val="0"/>
      <w:marBottom w:val="0"/>
      <w:divBdr>
        <w:top w:val="none" w:sz="0" w:space="0" w:color="auto"/>
        <w:left w:val="none" w:sz="0" w:space="0" w:color="auto"/>
        <w:bottom w:val="none" w:sz="0" w:space="0" w:color="auto"/>
        <w:right w:val="none" w:sz="0" w:space="0" w:color="auto"/>
      </w:divBdr>
      <w:divsChild>
        <w:div w:id="1540049068">
          <w:marLeft w:val="0"/>
          <w:marRight w:val="0"/>
          <w:marTop w:val="0"/>
          <w:marBottom w:val="0"/>
          <w:divBdr>
            <w:top w:val="none" w:sz="0" w:space="0" w:color="auto"/>
            <w:left w:val="none" w:sz="0" w:space="0" w:color="auto"/>
            <w:bottom w:val="none" w:sz="0" w:space="0" w:color="auto"/>
            <w:right w:val="none" w:sz="0" w:space="0" w:color="auto"/>
          </w:divBdr>
        </w:div>
        <w:div w:id="120922141">
          <w:marLeft w:val="0"/>
          <w:marRight w:val="0"/>
          <w:marTop w:val="0"/>
          <w:marBottom w:val="0"/>
          <w:divBdr>
            <w:top w:val="none" w:sz="0" w:space="0" w:color="auto"/>
            <w:left w:val="none" w:sz="0" w:space="0" w:color="auto"/>
            <w:bottom w:val="none" w:sz="0" w:space="0" w:color="auto"/>
            <w:right w:val="none" w:sz="0" w:space="0" w:color="auto"/>
          </w:divBdr>
        </w:div>
        <w:div w:id="270549297">
          <w:marLeft w:val="0"/>
          <w:marRight w:val="0"/>
          <w:marTop w:val="0"/>
          <w:marBottom w:val="0"/>
          <w:divBdr>
            <w:top w:val="none" w:sz="0" w:space="0" w:color="auto"/>
            <w:left w:val="none" w:sz="0" w:space="0" w:color="auto"/>
            <w:bottom w:val="none" w:sz="0" w:space="0" w:color="auto"/>
            <w:right w:val="none" w:sz="0" w:space="0" w:color="auto"/>
          </w:divBdr>
        </w:div>
      </w:divsChild>
    </w:div>
    <w:div w:id="1103961030">
      <w:bodyDiv w:val="1"/>
      <w:marLeft w:val="0"/>
      <w:marRight w:val="0"/>
      <w:marTop w:val="0"/>
      <w:marBottom w:val="0"/>
      <w:divBdr>
        <w:top w:val="none" w:sz="0" w:space="0" w:color="auto"/>
        <w:left w:val="none" w:sz="0" w:space="0" w:color="auto"/>
        <w:bottom w:val="none" w:sz="0" w:space="0" w:color="auto"/>
        <w:right w:val="none" w:sz="0" w:space="0" w:color="auto"/>
      </w:divBdr>
      <w:divsChild>
        <w:div w:id="19650515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gf.com.cn" TargetMode="External"/><Relationship Id="rId26" Type="http://schemas.openxmlformats.org/officeDocument/2006/relationships/hyperlink" Target="http://www.csc108.com" TargetMode="External"/><Relationship Id="rId21" Type="http://schemas.openxmlformats.org/officeDocument/2006/relationships/hyperlink" Target="https://www.htsc.com.cn/" TargetMode="Externa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rade.rosefinchfund.com" TargetMode="External"/><Relationship Id="rId25" Type="http://schemas.openxmlformats.org/officeDocument/2006/relationships/hyperlink" Target="http://www.taixincf.com" TargetMode="External"/><Relationship Id="rId33"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www.westfutu.com" TargetMode="External"/><Relationship Id="rId29" Type="http://schemas.openxmlformats.org/officeDocument/2006/relationships/hyperlink" Target="http://kenterui.j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www.nbcb.com.cn" TargetMode="External"/><Relationship Id="rId32" Type="http://schemas.openxmlformats.org/officeDocument/2006/relationships/image" Target="media/image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txfund.com/" TargetMode="External"/><Relationship Id="rId28" Type="http://schemas.openxmlformats.org/officeDocument/2006/relationships/hyperlink" Target="https://www.kysec.cn/"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www.yingmi.cn" TargetMode="External"/><Relationship Id="rId31" Type="http://schemas.openxmlformats.org/officeDocument/2006/relationships/hyperlink" Target="http://www.leadfund.com.c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www.gzs.com.cn" TargetMode="External"/><Relationship Id="rId27" Type="http://schemas.openxmlformats.org/officeDocument/2006/relationships/hyperlink" Target="http://www.essence.com.cn/" TargetMode="External"/><Relationship Id="rId30" Type="http://schemas.openxmlformats.org/officeDocument/2006/relationships/hyperlink" Target="http://www.fund123.cn" TargetMode="External"/><Relationship Id="rId35" Type="http://schemas.openxmlformats.org/officeDocument/2006/relationships/footer" Target="footer6.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4396D-14F5-4914-84B0-78DF4B96F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162</Pages>
  <Words>18378</Words>
  <Characters>104757</Characters>
  <Application>Microsoft Office Word</Application>
  <DocSecurity>0</DocSecurity>
  <Lines>872</Lines>
  <Paragraphs>245</Paragraphs>
  <ScaleCrop>false</ScaleCrop>
  <Company>southenrnfund</Company>
  <LinksUpToDate>false</LinksUpToDate>
  <CharactersWithSpaces>122890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夏燕</cp:lastModifiedBy>
  <cp:revision>4</cp:revision>
  <cp:lastPrinted>2021-12-11T17:01:00Z</cp:lastPrinted>
  <dcterms:created xsi:type="dcterms:W3CDTF">2026-09-17T07:46:00Z</dcterms:created>
  <dcterms:modified xsi:type="dcterms:W3CDTF">2026-09-18T02:03:00Z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56ACD69584615520A25B6166F887E8D5_43</vt:lpwstr>
  </property>
</Properties>
</file>